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96DF" w14:textId="67BAF9A5" w:rsidR="001D061C" w:rsidRPr="008D0D65" w:rsidRDefault="001D061C" w:rsidP="00F46F38">
      <w:pPr>
        <w:spacing w:after="80"/>
        <w:jc w:val="center"/>
        <w:rPr>
          <w:b/>
          <w:i/>
          <w:color w:val="0070C0"/>
          <w:sz w:val="30"/>
          <w:szCs w:val="30"/>
        </w:rPr>
      </w:pPr>
      <w:r w:rsidRPr="008D0D65">
        <w:rPr>
          <w:b/>
          <w:i/>
          <w:color w:val="0070C0"/>
          <w:sz w:val="30"/>
          <w:szCs w:val="30"/>
        </w:rPr>
        <w:t>Community Pharmacy Deadline Tracker</w:t>
      </w:r>
      <w:r w:rsidR="00C254D9" w:rsidRPr="008D0D65">
        <w:rPr>
          <w:b/>
          <w:i/>
          <w:color w:val="0070C0"/>
          <w:sz w:val="30"/>
          <w:szCs w:val="30"/>
        </w:rPr>
        <w:t xml:space="preserve"> – </w:t>
      </w:r>
      <w:r w:rsidR="0013044B">
        <w:rPr>
          <w:b/>
          <w:i/>
          <w:color w:val="0070C0"/>
          <w:sz w:val="30"/>
          <w:szCs w:val="30"/>
        </w:rPr>
        <w:t>March</w:t>
      </w:r>
      <w:r w:rsidR="00EB5932" w:rsidRPr="008D0D65">
        <w:rPr>
          <w:b/>
          <w:i/>
          <w:color w:val="0070C0"/>
          <w:sz w:val="30"/>
          <w:szCs w:val="30"/>
        </w:rPr>
        <w:t xml:space="preserve"> 2020</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1057" w:type="dxa"/>
        <w:tblInd w:w="-714" w:type="dxa"/>
        <w:tblLayout w:type="fixed"/>
        <w:tblLook w:val="04A0" w:firstRow="1" w:lastRow="0" w:firstColumn="1" w:lastColumn="0" w:noHBand="0" w:noVBand="1"/>
      </w:tblPr>
      <w:tblGrid>
        <w:gridCol w:w="3090"/>
        <w:gridCol w:w="6975"/>
        <w:gridCol w:w="992"/>
      </w:tblGrid>
      <w:tr w:rsidR="00CE4F49" w14:paraId="71182FD4" w14:textId="77777777" w:rsidTr="0013044B">
        <w:trPr>
          <w:tblHeader/>
        </w:trPr>
        <w:tc>
          <w:tcPr>
            <w:tcW w:w="3090"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6975"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992"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Pr>
                <w:b/>
                <w:color w:val="0070C0"/>
                <w:sz w:val="26"/>
                <w:szCs w:val="26"/>
              </w:rPr>
              <w:t>Tick when done</w:t>
            </w:r>
          </w:p>
        </w:tc>
      </w:tr>
      <w:tr w:rsidR="00731050" w14:paraId="12BDB5A0" w14:textId="77777777" w:rsidTr="0013044B">
        <w:tc>
          <w:tcPr>
            <w:tcW w:w="3090" w:type="dxa"/>
          </w:tcPr>
          <w:p w14:paraId="287D1F43" w14:textId="513D651A" w:rsidR="00731050" w:rsidRPr="00297CEC" w:rsidRDefault="00731050" w:rsidP="00731050">
            <w:pPr>
              <w:autoSpaceDE w:val="0"/>
              <w:autoSpaceDN w:val="0"/>
              <w:adjustRightInd w:val="0"/>
              <w:rPr>
                <w:rFonts w:ascii="Calibri" w:hAnsi="Calibri" w:cs="Calibri"/>
                <w:b/>
                <w:bCs/>
                <w:color w:val="0070C0"/>
                <w:sz w:val="28"/>
                <w:szCs w:val="28"/>
              </w:rPr>
            </w:pPr>
            <w:r w:rsidRPr="00297CEC">
              <w:rPr>
                <w:rFonts w:ascii="Calibri" w:hAnsi="Calibri" w:cs="Calibri"/>
                <w:b/>
                <w:bCs/>
                <w:color w:val="0070C0"/>
                <w:sz w:val="28"/>
                <w:szCs w:val="28"/>
              </w:rPr>
              <w:t>Coronavirus (COVID-19)</w:t>
            </w:r>
          </w:p>
          <w:tbl>
            <w:tblPr>
              <w:tblW w:w="0" w:type="auto"/>
              <w:tblBorders>
                <w:top w:val="nil"/>
                <w:left w:val="nil"/>
                <w:bottom w:val="nil"/>
                <w:right w:val="nil"/>
              </w:tblBorders>
              <w:tblLayout w:type="fixed"/>
              <w:tblLook w:val="0000" w:firstRow="0" w:lastRow="0" w:firstColumn="0" w:lastColumn="0" w:noHBand="0" w:noVBand="0"/>
            </w:tblPr>
            <w:tblGrid>
              <w:gridCol w:w="999"/>
            </w:tblGrid>
            <w:tr w:rsidR="00731050" w:rsidRPr="00731050" w14:paraId="2362A120" w14:textId="77777777">
              <w:trPr>
                <w:trHeight w:val="222"/>
              </w:trPr>
              <w:tc>
                <w:tcPr>
                  <w:tcW w:w="999" w:type="dxa"/>
                </w:tcPr>
                <w:p w14:paraId="63252754" w14:textId="1C461818" w:rsidR="00731050" w:rsidRPr="00731050" w:rsidRDefault="00731050" w:rsidP="00731050">
                  <w:pPr>
                    <w:autoSpaceDE w:val="0"/>
                    <w:autoSpaceDN w:val="0"/>
                    <w:adjustRightInd w:val="0"/>
                    <w:spacing w:after="0" w:line="240" w:lineRule="auto"/>
                    <w:rPr>
                      <w:rFonts w:cstheme="minorHAnsi"/>
                      <w:b/>
                      <w:bCs/>
                      <w:color w:val="0070C0"/>
                      <w:sz w:val="26"/>
                      <w:szCs w:val="26"/>
                    </w:rPr>
                  </w:pPr>
                </w:p>
              </w:tc>
            </w:tr>
          </w:tbl>
          <w:p w14:paraId="44C80D09" w14:textId="77777777" w:rsidR="00731050" w:rsidRDefault="00731050" w:rsidP="00A75F3D">
            <w:pPr>
              <w:spacing w:after="120"/>
              <w:rPr>
                <w:b/>
                <w:color w:val="0070C0"/>
                <w:sz w:val="26"/>
                <w:szCs w:val="26"/>
              </w:rPr>
            </w:pPr>
          </w:p>
        </w:tc>
        <w:tc>
          <w:tcPr>
            <w:tcW w:w="6975" w:type="dxa"/>
          </w:tcPr>
          <w:p w14:paraId="1CC6C0D2" w14:textId="77777777" w:rsidR="00715443" w:rsidRDefault="00731050" w:rsidP="00F905EA">
            <w:pPr>
              <w:spacing w:after="80"/>
              <w:rPr>
                <w:sz w:val="26"/>
                <w:szCs w:val="26"/>
              </w:rPr>
            </w:pPr>
            <w:r>
              <w:rPr>
                <w:sz w:val="26"/>
                <w:szCs w:val="26"/>
              </w:rPr>
              <w:t>Please keep up to date with information relating to the outbreak of coronavirus in China, including the current situation in the UK and Europe and information about the virus and its’ s</w:t>
            </w:r>
            <w:r w:rsidR="00715443">
              <w:rPr>
                <w:sz w:val="26"/>
                <w:szCs w:val="26"/>
              </w:rPr>
              <w:t>y</w:t>
            </w:r>
            <w:r>
              <w:rPr>
                <w:sz w:val="26"/>
                <w:szCs w:val="26"/>
              </w:rPr>
              <w:t>mptoms</w:t>
            </w:r>
            <w:r w:rsidR="00715443">
              <w:rPr>
                <w:sz w:val="26"/>
                <w:szCs w:val="26"/>
              </w:rPr>
              <w:t>.</w:t>
            </w:r>
          </w:p>
          <w:p w14:paraId="21810632" w14:textId="0FDFC1F6" w:rsidR="00731050" w:rsidRPr="00715443" w:rsidRDefault="00731050" w:rsidP="00F905EA">
            <w:pPr>
              <w:spacing w:after="80"/>
              <w:rPr>
                <w:rStyle w:val="Hyperlink"/>
                <w:sz w:val="26"/>
                <w:szCs w:val="26"/>
              </w:rPr>
            </w:pPr>
            <w:r>
              <w:rPr>
                <w:sz w:val="26"/>
                <w:szCs w:val="26"/>
              </w:rPr>
              <w:t>Practic</w:t>
            </w:r>
            <w:r w:rsidR="00715443">
              <w:rPr>
                <w:sz w:val="26"/>
                <w:szCs w:val="26"/>
              </w:rPr>
              <w:t>al</w:t>
            </w:r>
            <w:r>
              <w:rPr>
                <w:sz w:val="26"/>
                <w:szCs w:val="26"/>
              </w:rPr>
              <w:t xml:space="preserve"> guidance to support primary care teams in managing contact with and presentations of patients who suspect they may have </w:t>
            </w:r>
            <w:r w:rsidR="00715443">
              <w:rPr>
                <w:sz w:val="26"/>
                <w:szCs w:val="26"/>
              </w:rPr>
              <w:fldChar w:fldCharType="begin"/>
            </w:r>
            <w:r w:rsidR="00715443">
              <w:rPr>
                <w:sz w:val="26"/>
                <w:szCs w:val="26"/>
              </w:rPr>
              <w:instrText xml:space="preserve"> HYPERLINK "https://www.england.nhs.uk/coronavirus/primary-care/" </w:instrText>
            </w:r>
            <w:r w:rsidR="00715443">
              <w:rPr>
                <w:sz w:val="26"/>
                <w:szCs w:val="26"/>
              </w:rPr>
              <w:fldChar w:fldCharType="separate"/>
            </w:r>
            <w:r w:rsidRPr="00715443">
              <w:rPr>
                <w:rStyle w:val="Hyperlink"/>
                <w:sz w:val="26"/>
                <w:szCs w:val="26"/>
              </w:rPr>
              <w:t>COVID-19</w:t>
            </w:r>
          </w:p>
          <w:p w14:paraId="79C82852" w14:textId="4149682F" w:rsidR="00731050" w:rsidRDefault="00715443" w:rsidP="00F905EA">
            <w:pPr>
              <w:spacing w:after="80"/>
              <w:rPr>
                <w:sz w:val="26"/>
                <w:szCs w:val="26"/>
              </w:rPr>
            </w:pPr>
            <w:r>
              <w:rPr>
                <w:sz w:val="26"/>
                <w:szCs w:val="26"/>
              </w:rPr>
              <w:fldChar w:fldCharType="end"/>
            </w:r>
            <w:r w:rsidR="00731050">
              <w:rPr>
                <w:sz w:val="26"/>
                <w:szCs w:val="26"/>
              </w:rPr>
              <w:t xml:space="preserve">The standard operating procedure for community pharmacy can be found </w:t>
            </w:r>
            <w:hyperlink r:id="rId8" w:history="1">
              <w:r w:rsidR="00731050" w:rsidRPr="00715443">
                <w:rPr>
                  <w:rStyle w:val="Hyperlink"/>
                  <w:sz w:val="26"/>
                  <w:szCs w:val="26"/>
                </w:rPr>
                <w:t>here</w:t>
              </w:r>
            </w:hyperlink>
          </w:p>
          <w:p w14:paraId="55D41B93" w14:textId="74A5DDAF" w:rsidR="00731050" w:rsidRDefault="00731050" w:rsidP="00F905EA">
            <w:pPr>
              <w:spacing w:after="80"/>
              <w:rPr>
                <w:sz w:val="26"/>
                <w:szCs w:val="26"/>
              </w:rPr>
            </w:pPr>
            <w:r>
              <w:rPr>
                <w:sz w:val="26"/>
                <w:szCs w:val="26"/>
              </w:rPr>
              <w:t xml:space="preserve">More information including the posters to display can be found on the PSNC page </w:t>
            </w:r>
            <w:hyperlink r:id="rId9" w:history="1">
              <w:r w:rsidRPr="00715443">
                <w:rPr>
                  <w:rStyle w:val="Hyperlink"/>
                  <w:sz w:val="26"/>
                  <w:szCs w:val="26"/>
                </w:rPr>
                <w:t>here</w:t>
              </w:r>
            </w:hyperlink>
          </w:p>
          <w:p w14:paraId="49A8EB95" w14:textId="2DB5E396" w:rsidR="00731050" w:rsidRPr="00C2368D" w:rsidRDefault="00731050" w:rsidP="00F905EA">
            <w:pPr>
              <w:spacing w:after="80"/>
              <w:rPr>
                <w:sz w:val="26"/>
                <w:szCs w:val="26"/>
              </w:rPr>
            </w:pPr>
            <w:r>
              <w:rPr>
                <w:sz w:val="26"/>
                <w:szCs w:val="26"/>
              </w:rPr>
              <w:t xml:space="preserve">Business Continuity Information for pharmacies can be found </w:t>
            </w:r>
            <w:hyperlink r:id="rId10" w:history="1">
              <w:r w:rsidRPr="00715443">
                <w:rPr>
                  <w:rStyle w:val="Hyperlink"/>
                  <w:sz w:val="26"/>
                  <w:szCs w:val="26"/>
                </w:rPr>
                <w:t>here</w:t>
              </w:r>
            </w:hyperlink>
          </w:p>
        </w:tc>
        <w:tc>
          <w:tcPr>
            <w:tcW w:w="992" w:type="dxa"/>
          </w:tcPr>
          <w:p w14:paraId="7062A0BF" w14:textId="77777777" w:rsidR="00731050" w:rsidRDefault="00731050" w:rsidP="00CB1004">
            <w:pPr>
              <w:spacing w:after="120"/>
              <w:rPr>
                <w:b/>
                <w:color w:val="0070C0"/>
                <w:sz w:val="26"/>
                <w:szCs w:val="26"/>
              </w:rPr>
            </w:pPr>
          </w:p>
        </w:tc>
      </w:tr>
      <w:tr w:rsidR="002B326E" w14:paraId="3B235270" w14:textId="77777777" w:rsidTr="0013044B">
        <w:tc>
          <w:tcPr>
            <w:tcW w:w="3090" w:type="dxa"/>
          </w:tcPr>
          <w:p w14:paraId="1F247896" w14:textId="77777777" w:rsidR="002B326E" w:rsidRDefault="002B326E" w:rsidP="00A75F3D">
            <w:pPr>
              <w:spacing w:after="120"/>
              <w:rPr>
                <w:b/>
                <w:color w:val="0070C0"/>
                <w:sz w:val="26"/>
                <w:szCs w:val="26"/>
              </w:rPr>
            </w:pPr>
            <w:r>
              <w:rPr>
                <w:b/>
                <w:color w:val="0070C0"/>
                <w:sz w:val="26"/>
                <w:szCs w:val="26"/>
              </w:rPr>
              <w:t>CPPQ</w:t>
            </w:r>
          </w:p>
          <w:p w14:paraId="545A62BD" w14:textId="26ED63A7" w:rsidR="002B326E" w:rsidRDefault="002B326E" w:rsidP="00A75F3D">
            <w:pPr>
              <w:spacing w:after="120"/>
              <w:rPr>
                <w:b/>
                <w:color w:val="0070C0"/>
                <w:sz w:val="26"/>
                <w:szCs w:val="26"/>
              </w:rPr>
            </w:pPr>
            <w:r w:rsidRPr="002B326E">
              <w:rPr>
                <w:b/>
                <w:color w:val="FF0000"/>
                <w:sz w:val="26"/>
                <w:szCs w:val="26"/>
              </w:rPr>
              <w:t>31</w:t>
            </w:r>
            <w:r w:rsidRPr="002B326E">
              <w:rPr>
                <w:b/>
                <w:color w:val="FF0000"/>
                <w:sz w:val="26"/>
                <w:szCs w:val="26"/>
                <w:vertAlign w:val="superscript"/>
              </w:rPr>
              <w:t>st</w:t>
            </w:r>
            <w:r w:rsidRPr="002B326E">
              <w:rPr>
                <w:b/>
                <w:color w:val="FF0000"/>
                <w:sz w:val="26"/>
                <w:szCs w:val="26"/>
              </w:rPr>
              <w:t xml:space="preserve"> March 2020</w:t>
            </w:r>
          </w:p>
        </w:tc>
        <w:tc>
          <w:tcPr>
            <w:tcW w:w="6975" w:type="dxa"/>
          </w:tcPr>
          <w:p w14:paraId="39F9523A" w14:textId="5888C081" w:rsidR="002B326E" w:rsidRDefault="002B326E" w:rsidP="00F905EA">
            <w:pPr>
              <w:spacing w:after="80"/>
              <w:rPr>
                <w:sz w:val="26"/>
                <w:szCs w:val="26"/>
              </w:rPr>
            </w:pPr>
            <w:r>
              <w:rPr>
                <w:sz w:val="26"/>
                <w:szCs w:val="26"/>
              </w:rPr>
              <w:t>Ensure you have completed the CPPQ for 2019-20 by March 31st.</w:t>
            </w:r>
          </w:p>
          <w:p w14:paraId="2A8AC467" w14:textId="0D0D7F26" w:rsidR="002B326E" w:rsidRPr="00C2368D" w:rsidRDefault="002B326E" w:rsidP="00F905EA">
            <w:pPr>
              <w:spacing w:after="80"/>
              <w:rPr>
                <w:sz w:val="26"/>
                <w:szCs w:val="26"/>
              </w:rPr>
            </w:pPr>
            <w:r>
              <w:rPr>
                <w:sz w:val="26"/>
                <w:szCs w:val="26"/>
              </w:rPr>
              <w:t xml:space="preserve">Further information including the number of questionnaires </w:t>
            </w:r>
            <w:r w:rsidR="008D0D65">
              <w:rPr>
                <w:sz w:val="26"/>
                <w:szCs w:val="26"/>
              </w:rPr>
              <w:t>you need</w:t>
            </w:r>
            <w:r>
              <w:rPr>
                <w:sz w:val="26"/>
                <w:szCs w:val="26"/>
              </w:rPr>
              <w:t xml:space="preserve"> to complete can be found on the </w:t>
            </w:r>
            <w:hyperlink r:id="rId11" w:history="1">
              <w:r w:rsidRPr="00F720F5">
                <w:rPr>
                  <w:rStyle w:val="Hyperlink"/>
                  <w:sz w:val="26"/>
                  <w:szCs w:val="26"/>
                </w:rPr>
                <w:t>PSNC website</w:t>
              </w:r>
            </w:hyperlink>
            <w:r>
              <w:rPr>
                <w:sz w:val="26"/>
                <w:szCs w:val="26"/>
              </w:rPr>
              <w:t xml:space="preserve">. </w:t>
            </w:r>
          </w:p>
        </w:tc>
        <w:tc>
          <w:tcPr>
            <w:tcW w:w="992" w:type="dxa"/>
          </w:tcPr>
          <w:p w14:paraId="289D71CB" w14:textId="77777777" w:rsidR="002B326E" w:rsidRDefault="002B326E" w:rsidP="00CB1004">
            <w:pPr>
              <w:spacing w:after="120"/>
              <w:rPr>
                <w:b/>
                <w:color w:val="0070C0"/>
                <w:sz w:val="26"/>
                <w:szCs w:val="26"/>
              </w:rPr>
            </w:pPr>
          </w:p>
        </w:tc>
      </w:tr>
      <w:tr w:rsidR="000D6F0E" w14:paraId="18118E02" w14:textId="77777777" w:rsidTr="0013044B">
        <w:tc>
          <w:tcPr>
            <w:tcW w:w="3090" w:type="dxa"/>
          </w:tcPr>
          <w:p w14:paraId="304D99F1" w14:textId="77777777" w:rsidR="000D6F0E" w:rsidRDefault="000D6F0E" w:rsidP="00A75F3D">
            <w:pPr>
              <w:spacing w:after="120"/>
              <w:rPr>
                <w:b/>
                <w:color w:val="0070C0"/>
                <w:sz w:val="26"/>
                <w:szCs w:val="26"/>
              </w:rPr>
            </w:pPr>
            <w:r>
              <w:rPr>
                <w:b/>
                <w:color w:val="0070C0"/>
                <w:sz w:val="26"/>
                <w:szCs w:val="26"/>
              </w:rPr>
              <w:t>Annual Complaints Report</w:t>
            </w:r>
          </w:p>
          <w:p w14:paraId="31F08626" w14:textId="4DC1BBA4" w:rsidR="000D6F0E" w:rsidRDefault="000D6F0E" w:rsidP="00A75F3D">
            <w:pPr>
              <w:spacing w:after="120"/>
              <w:rPr>
                <w:b/>
                <w:color w:val="0070C0"/>
                <w:sz w:val="26"/>
                <w:szCs w:val="26"/>
              </w:rPr>
            </w:pPr>
            <w:r w:rsidRPr="000D6F0E">
              <w:rPr>
                <w:b/>
                <w:color w:val="FF0000"/>
                <w:sz w:val="26"/>
                <w:szCs w:val="26"/>
              </w:rPr>
              <w:t>13</w:t>
            </w:r>
            <w:r w:rsidRPr="000D6F0E">
              <w:rPr>
                <w:b/>
                <w:color w:val="FF0000"/>
                <w:sz w:val="26"/>
                <w:szCs w:val="26"/>
                <w:vertAlign w:val="superscript"/>
              </w:rPr>
              <w:t>th</w:t>
            </w:r>
            <w:r w:rsidRPr="000D6F0E">
              <w:rPr>
                <w:b/>
                <w:color w:val="FF0000"/>
                <w:sz w:val="26"/>
                <w:szCs w:val="26"/>
              </w:rPr>
              <w:t xml:space="preserve"> April 2020</w:t>
            </w:r>
          </w:p>
        </w:tc>
        <w:tc>
          <w:tcPr>
            <w:tcW w:w="6975" w:type="dxa"/>
          </w:tcPr>
          <w:p w14:paraId="7D880EE9" w14:textId="2F343BC8" w:rsidR="000D6F0E" w:rsidRPr="000D6F0E" w:rsidRDefault="000D6F0E" w:rsidP="000D6F0E">
            <w:pPr>
              <w:spacing w:after="80"/>
              <w:rPr>
                <w:sz w:val="26"/>
                <w:szCs w:val="26"/>
              </w:rPr>
            </w:pPr>
            <w:r w:rsidRPr="000D6F0E">
              <w:rPr>
                <w:bCs/>
                <w:sz w:val="26"/>
                <w:szCs w:val="26"/>
              </w:rPr>
              <w:t xml:space="preserve">You must prepare an annual complaints report which must be submitted to the NHSE&amp;I Area Team within 10 working days of the end of March either by completing the template on </w:t>
            </w:r>
            <w:proofErr w:type="spellStart"/>
            <w:r w:rsidRPr="000D6F0E">
              <w:rPr>
                <w:bCs/>
                <w:sz w:val="26"/>
                <w:szCs w:val="26"/>
              </w:rPr>
              <w:t>PharmOutcomes</w:t>
            </w:r>
            <w:proofErr w:type="spellEnd"/>
            <w:r w:rsidRPr="000D6F0E">
              <w:rPr>
                <w:bCs/>
                <w:sz w:val="26"/>
                <w:szCs w:val="26"/>
              </w:rPr>
              <w:t xml:space="preserve"> or email to </w:t>
            </w:r>
            <w:r w:rsidRPr="000D6F0E">
              <w:rPr>
                <w:sz w:val="26"/>
                <w:szCs w:val="26"/>
              </w:rPr>
              <w:t xml:space="preserve">england.pharmacysouthwest@nhs.net </w:t>
            </w:r>
          </w:p>
          <w:p w14:paraId="73572AF4" w14:textId="0B342ED1" w:rsidR="000D6F0E" w:rsidRPr="000D6F0E" w:rsidRDefault="000D6F0E" w:rsidP="00F905EA">
            <w:pPr>
              <w:spacing w:after="80"/>
              <w:rPr>
                <w:bCs/>
                <w:sz w:val="26"/>
                <w:szCs w:val="26"/>
              </w:rPr>
            </w:pPr>
            <w:r w:rsidRPr="000D6F0E">
              <w:rPr>
                <w:bCs/>
                <w:sz w:val="26"/>
                <w:szCs w:val="26"/>
              </w:rPr>
              <w:t xml:space="preserve">If you haven’t received any complaints during the last 12 months a nil response is still mandatory.  Further information including a recording template can be found on the PSNC website. </w:t>
            </w:r>
          </w:p>
        </w:tc>
        <w:tc>
          <w:tcPr>
            <w:tcW w:w="992" w:type="dxa"/>
          </w:tcPr>
          <w:p w14:paraId="7217D9F5" w14:textId="77777777" w:rsidR="000D6F0E" w:rsidRPr="000D6F0E" w:rsidRDefault="000D6F0E" w:rsidP="00CB1004">
            <w:pPr>
              <w:spacing w:after="120"/>
              <w:rPr>
                <w:b/>
                <w:color w:val="0070C0"/>
                <w:sz w:val="26"/>
                <w:szCs w:val="26"/>
              </w:rPr>
            </w:pPr>
          </w:p>
        </w:tc>
      </w:tr>
      <w:tr w:rsidR="00F905EA" w14:paraId="37486B19" w14:textId="77777777" w:rsidTr="0013044B">
        <w:tc>
          <w:tcPr>
            <w:tcW w:w="3090" w:type="dxa"/>
          </w:tcPr>
          <w:p w14:paraId="0F0E1E02" w14:textId="77777777" w:rsidR="00A75F3D" w:rsidRDefault="007B4D8B" w:rsidP="00A75F3D">
            <w:pPr>
              <w:spacing w:after="120"/>
              <w:rPr>
                <w:b/>
                <w:color w:val="0070C0"/>
                <w:sz w:val="26"/>
                <w:szCs w:val="26"/>
              </w:rPr>
            </w:pPr>
            <w:r>
              <w:rPr>
                <w:b/>
                <w:color w:val="0070C0"/>
                <w:sz w:val="26"/>
                <w:szCs w:val="26"/>
              </w:rPr>
              <w:t>Data Security and Protection Toolkit (previously known as IG toolkit).</w:t>
            </w:r>
          </w:p>
          <w:p w14:paraId="66B5EFA4" w14:textId="4A0C99B3" w:rsidR="007B4D8B" w:rsidRPr="00A75F3D" w:rsidRDefault="007B4D8B" w:rsidP="00A75F3D">
            <w:pPr>
              <w:spacing w:after="120"/>
              <w:rPr>
                <w:b/>
                <w:color w:val="0070C0"/>
                <w:sz w:val="26"/>
                <w:szCs w:val="26"/>
              </w:rPr>
            </w:pPr>
            <w:r>
              <w:rPr>
                <w:b/>
                <w:color w:val="0070C0"/>
                <w:sz w:val="26"/>
                <w:szCs w:val="26"/>
              </w:rPr>
              <w:t xml:space="preserve">By </w:t>
            </w:r>
            <w:r w:rsidRPr="00F720F5">
              <w:rPr>
                <w:b/>
                <w:color w:val="FF0000"/>
                <w:sz w:val="26"/>
                <w:szCs w:val="26"/>
              </w:rPr>
              <w:t>31</w:t>
            </w:r>
            <w:r w:rsidRPr="00F720F5">
              <w:rPr>
                <w:b/>
                <w:color w:val="FF0000"/>
                <w:sz w:val="26"/>
                <w:szCs w:val="26"/>
                <w:vertAlign w:val="superscript"/>
              </w:rPr>
              <w:t>st</w:t>
            </w:r>
            <w:r w:rsidRPr="00F720F5">
              <w:rPr>
                <w:b/>
                <w:color w:val="FF0000"/>
                <w:sz w:val="26"/>
                <w:szCs w:val="26"/>
              </w:rPr>
              <w:t xml:space="preserve"> March 2020</w:t>
            </w:r>
          </w:p>
        </w:tc>
        <w:tc>
          <w:tcPr>
            <w:tcW w:w="6975" w:type="dxa"/>
          </w:tcPr>
          <w:p w14:paraId="6A481139" w14:textId="0123596F" w:rsidR="00CE4F49" w:rsidRPr="00C2368D" w:rsidRDefault="007B4D8B" w:rsidP="00F905EA">
            <w:pPr>
              <w:spacing w:after="80"/>
              <w:rPr>
                <w:bCs/>
                <w:sz w:val="26"/>
                <w:szCs w:val="26"/>
              </w:rPr>
            </w:pPr>
            <w:r w:rsidRPr="00C2368D">
              <w:rPr>
                <w:bCs/>
                <w:sz w:val="26"/>
                <w:szCs w:val="26"/>
              </w:rPr>
              <w:t xml:space="preserve">Providers of NHS services within England, including community pharmacy contractors, are required to give information governance assurances to the NHS each year via the online self-assessment: </w:t>
            </w:r>
            <w:hyperlink r:id="rId12" w:history="1">
              <w:r w:rsidRPr="00C2368D">
                <w:rPr>
                  <w:rStyle w:val="Hyperlink"/>
                  <w:bCs/>
                  <w:sz w:val="26"/>
                  <w:szCs w:val="26"/>
                </w:rPr>
                <w:t>The Data Security and Protection Toolkit</w:t>
              </w:r>
            </w:hyperlink>
            <w:r w:rsidRPr="00C2368D">
              <w:rPr>
                <w:bCs/>
                <w:sz w:val="26"/>
                <w:szCs w:val="26"/>
              </w:rPr>
              <w:t xml:space="preserve"> (previously called the ‘IG Toolkit’.</w:t>
            </w:r>
          </w:p>
          <w:p w14:paraId="7BEA7840" w14:textId="11E7EAED" w:rsidR="007B4D8B" w:rsidRPr="00C2368D" w:rsidRDefault="007B4D8B" w:rsidP="00F905EA">
            <w:pPr>
              <w:spacing w:after="80"/>
              <w:rPr>
                <w:bCs/>
                <w:sz w:val="26"/>
                <w:szCs w:val="26"/>
              </w:rPr>
            </w:pPr>
            <w:r w:rsidRPr="00C2368D">
              <w:rPr>
                <w:bCs/>
                <w:sz w:val="26"/>
                <w:szCs w:val="26"/>
              </w:rPr>
              <w:t xml:space="preserve">For resources to assist community pharmacies completing the toolkit please </w:t>
            </w:r>
            <w:hyperlink r:id="rId13" w:history="1">
              <w:r w:rsidRPr="00C2368D">
                <w:rPr>
                  <w:rStyle w:val="Hyperlink"/>
                  <w:bCs/>
                  <w:sz w:val="26"/>
                  <w:szCs w:val="26"/>
                </w:rPr>
                <w:t>click here</w:t>
              </w:r>
            </w:hyperlink>
          </w:p>
        </w:tc>
        <w:tc>
          <w:tcPr>
            <w:tcW w:w="992" w:type="dxa"/>
          </w:tcPr>
          <w:p w14:paraId="6D141A78" w14:textId="77777777" w:rsidR="00F905EA" w:rsidRDefault="00F905EA" w:rsidP="00CB1004">
            <w:pPr>
              <w:spacing w:after="120"/>
              <w:rPr>
                <w:b/>
                <w:color w:val="0070C0"/>
                <w:sz w:val="26"/>
                <w:szCs w:val="26"/>
              </w:rPr>
            </w:pPr>
          </w:p>
        </w:tc>
      </w:tr>
      <w:tr w:rsidR="000D6F0E" w14:paraId="56375941" w14:textId="77777777" w:rsidTr="0013044B">
        <w:tc>
          <w:tcPr>
            <w:tcW w:w="3090" w:type="dxa"/>
          </w:tcPr>
          <w:p w14:paraId="5732CBA3" w14:textId="77777777" w:rsidR="000D6F0E" w:rsidRDefault="000D6F0E" w:rsidP="00A75F3D">
            <w:pPr>
              <w:spacing w:after="120"/>
              <w:rPr>
                <w:b/>
                <w:color w:val="0070C0"/>
                <w:sz w:val="26"/>
                <w:szCs w:val="26"/>
              </w:rPr>
            </w:pPr>
            <w:r>
              <w:rPr>
                <w:b/>
                <w:color w:val="0070C0"/>
                <w:sz w:val="26"/>
                <w:szCs w:val="26"/>
              </w:rPr>
              <w:lastRenderedPageBreak/>
              <w:t>Data Security and Prote</w:t>
            </w:r>
            <w:r w:rsidR="0013044B">
              <w:rPr>
                <w:b/>
                <w:color w:val="0070C0"/>
                <w:sz w:val="26"/>
                <w:szCs w:val="26"/>
              </w:rPr>
              <w:t>c</w:t>
            </w:r>
            <w:r>
              <w:rPr>
                <w:b/>
                <w:color w:val="0070C0"/>
                <w:sz w:val="26"/>
                <w:szCs w:val="26"/>
              </w:rPr>
              <w:t xml:space="preserve">tion (DSP) Toolkit </w:t>
            </w:r>
          </w:p>
          <w:p w14:paraId="03FB2D9D" w14:textId="07C44C34" w:rsidR="0013044B" w:rsidRDefault="0013044B" w:rsidP="00A75F3D">
            <w:pPr>
              <w:spacing w:after="120"/>
              <w:rPr>
                <w:b/>
                <w:color w:val="0070C0"/>
                <w:sz w:val="26"/>
                <w:szCs w:val="26"/>
              </w:rPr>
            </w:pPr>
            <w:r w:rsidRPr="0013044B">
              <w:rPr>
                <w:b/>
                <w:color w:val="FF0000"/>
                <w:sz w:val="26"/>
                <w:szCs w:val="26"/>
              </w:rPr>
              <w:t>Completed by March 31</w:t>
            </w:r>
            <w:r w:rsidRPr="0013044B">
              <w:rPr>
                <w:b/>
                <w:color w:val="FF0000"/>
                <w:sz w:val="26"/>
                <w:szCs w:val="26"/>
                <w:vertAlign w:val="superscript"/>
              </w:rPr>
              <w:t>st</w:t>
            </w:r>
            <w:r w:rsidRPr="0013044B">
              <w:rPr>
                <w:b/>
                <w:color w:val="FF0000"/>
                <w:sz w:val="26"/>
                <w:szCs w:val="26"/>
              </w:rPr>
              <w:t xml:space="preserve"> 2020</w:t>
            </w:r>
          </w:p>
        </w:tc>
        <w:tc>
          <w:tcPr>
            <w:tcW w:w="6975" w:type="dxa"/>
          </w:tcPr>
          <w:p w14:paraId="561188DF" w14:textId="7D92DF39" w:rsidR="000D6F0E" w:rsidRPr="00C2368D" w:rsidRDefault="0013044B" w:rsidP="00C2368D">
            <w:pPr>
              <w:autoSpaceDE w:val="0"/>
              <w:autoSpaceDN w:val="0"/>
              <w:adjustRightInd w:val="0"/>
              <w:rPr>
                <w:rFonts w:ascii="Calibri" w:hAnsi="Calibri" w:cs="Calibri"/>
                <w:color w:val="000000"/>
                <w:sz w:val="26"/>
                <w:szCs w:val="26"/>
              </w:rPr>
            </w:pPr>
            <w:r>
              <w:rPr>
                <w:rFonts w:ascii="Calibri" w:hAnsi="Calibri" w:cs="Calibri"/>
                <w:color w:val="000000"/>
                <w:sz w:val="26"/>
                <w:szCs w:val="26"/>
              </w:rPr>
              <w:t xml:space="preserve">All pharmacies are required to complete the DSP toolkit on an annual basis to provide assurance on Information Governance (IG).   For a DPS toolkit on demand webinar and support from PSNC see </w:t>
            </w:r>
            <w:hyperlink r:id="rId14" w:history="1">
              <w:r w:rsidRPr="0013044B">
                <w:rPr>
                  <w:rStyle w:val="Hyperlink"/>
                  <w:rFonts w:ascii="Calibri" w:hAnsi="Calibri" w:cs="Calibri"/>
                  <w:sz w:val="26"/>
                  <w:szCs w:val="26"/>
                </w:rPr>
                <w:t>here</w:t>
              </w:r>
            </w:hyperlink>
            <w:r>
              <w:rPr>
                <w:rFonts w:ascii="Calibri" w:hAnsi="Calibri" w:cs="Calibri"/>
                <w:color w:val="000000"/>
                <w:sz w:val="26"/>
                <w:szCs w:val="26"/>
              </w:rPr>
              <w:t xml:space="preserve"> </w:t>
            </w:r>
          </w:p>
        </w:tc>
        <w:tc>
          <w:tcPr>
            <w:tcW w:w="992" w:type="dxa"/>
          </w:tcPr>
          <w:p w14:paraId="79BCAC9F" w14:textId="77777777" w:rsidR="000D6F0E" w:rsidRDefault="000D6F0E" w:rsidP="00CB1004">
            <w:pPr>
              <w:spacing w:after="120"/>
              <w:rPr>
                <w:b/>
                <w:color w:val="0070C0"/>
                <w:sz w:val="26"/>
                <w:szCs w:val="26"/>
              </w:rPr>
            </w:pPr>
          </w:p>
        </w:tc>
      </w:tr>
      <w:tr w:rsidR="00C2368D" w14:paraId="77E69B36" w14:textId="77777777" w:rsidTr="0013044B">
        <w:tc>
          <w:tcPr>
            <w:tcW w:w="3090" w:type="dxa"/>
          </w:tcPr>
          <w:p w14:paraId="661FC965" w14:textId="77777777" w:rsidR="00C2368D" w:rsidRDefault="00C2368D" w:rsidP="00A75F3D">
            <w:pPr>
              <w:spacing w:after="120"/>
              <w:rPr>
                <w:b/>
                <w:color w:val="0070C0"/>
                <w:sz w:val="26"/>
                <w:szCs w:val="26"/>
              </w:rPr>
            </w:pPr>
            <w:r>
              <w:rPr>
                <w:b/>
                <w:color w:val="0070C0"/>
                <w:sz w:val="26"/>
                <w:szCs w:val="26"/>
              </w:rPr>
              <w:t>IT Access for CPCS</w:t>
            </w:r>
          </w:p>
          <w:p w14:paraId="50949CCD" w14:textId="45BF7ECC" w:rsidR="00C2368D" w:rsidRDefault="00C2368D" w:rsidP="00A75F3D">
            <w:pPr>
              <w:spacing w:after="120"/>
              <w:rPr>
                <w:b/>
                <w:color w:val="0070C0"/>
                <w:sz w:val="26"/>
                <w:szCs w:val="26"/>
              </w:rPr>
            </w:pPr>
            <w:r>
              <w:rPr>
                <w:b/>
                <w:color w:val="0070C0"/>
                <w:sz w:val="26"/>
                <w:szCs w:val="26"/>
              </w:rPr>
              <w:t xml:space="preserve">IT Equipment must be accessible in the consultation room from </w:t>
            </w:r>
            <w:r w:rsidRPr="002B326E">
              <w:rPr>
                <w:b/>
                <w:color w:val="FF0000"/>
                <w:sz w:val="26"/>
                <w:szCs w:val="26"/>
              </w:rPr>
              <w:t>1</w:t>
            </w:r>
            <w:r w:rsidRPr="002B326E">
              <w:rPr>
                <w:b/>
                <w:color w:val="FF0000"/>
                <w:sz w:val="26"/>
                <w:szCs w:val="26"/>
                <w:vertAlign w:val="superscript"/>
              </w:rPr>
              <w:t>st</w:t>
            </w:r>
            <w:r w:rsidRPr="002B326E">
              <w:rPr>
                <w:b/>
                <w:color w:val="FF0000"/>
                <w:sz w:val="26"/>
                <w:szCs w:val="26"/>
              </w:rPr>
              <w:t xml:space="preserve"> April 2020</w:t>
            </w:r>
          </w:p>
        </w:tc>
        <w:tc>
          <w:tcPr>
            <w:tcW w:w="6975" w:type="dxa"/>
          </w:tcPr>
          <w:p w14:paraId="406F89FB" w14:textId="2E3DF2C7" w:rsidR="00C2368D" w:rsidRDefault="00C2368D" w:rsidP="00C2368D">
            <w:pPr>
              <w:autoSpaceDE w:val="0"/>
              <w:autoSpaceDN w:val="0"/>
              <w:adjustRightInd w:val="0"/>
              <w:rPr>
                <w:rFonts w:ascii="Calibri" w:hAnsi="Calibri" w:cs="Calibri"/>
                <w:color w:val="000000"/>
                <w:sz w:val="26"/>
                <w:szCs w:val="26"/>
              </w:rPr>
            </w:pPr>
            <w:r w:rsidRPr="00C2368D">
              <w:rPr>
                <w:rFonts w:ascii="Calibri" w:hAnsi="Calibri" w:cs="Calibri"/>
                <w:color w:val="000000"/>
                <w:sz w:val="26"/>
                <w:szCs w:val="26"/>
              </w:rPr>
              <w:t xml:space="preserve">Pharmacies providing the Community Pharmacist Consultation Service (CPCS) must have IT equipment accessible within the consultation room to allow contemporaneous records of the CPCS consultations to be made within the CPCS IT system (PharmOutcomes in Devon) from 1st April 2020. </w:t>
            </w:r>
          </w:p>
          <w:p w14:paraId="1997777D" w14:textId="77777777" w:rsidR="00C2368D" w:rsidRPr="00297CEC" w:rsidRDefault="00C2368D" w:rsidP="00C2368D">
            <w:pPr>
              <w:autoSpaceDE w:val="0"/>
              <w:autoSpaceDN w:val="0"/>
              <w:adjustRightInd w:val="0"/>
              <w:rPr>
                <w:rFonts w:ascii="Calibri" w:hAnsi="Calibri" w:cs="Calibri"/>
                <w:color w:val="000000"/>
                <w:sz w:val="14"/>
                <w:szCs w:val="14"/>
              </w:rPr>
            </w:pPr>
          </w:p>
          <w:p w14:paraId="70503EAF" w14:textId="32209127" w:rsidR="00C2368D" w:rsidRPr="00C2368D" w:rsidRDefault="00C2368D" w:rsidP="00C2368D">
            <w:pPr>
              <w:spacing w:after="80"/>
              <w:rPr>
                <w:bCs/>
                <w:sz w:val="26"/>
                <w:szCs w:val="26"/>
              </w:rPr>
            </w:pPr>
            <w:r w:rsidRPr="00C2368D">
              <w:rPr>
                <w:rFonts w:ascii="Calibri" w:hAnsi="Calibri" w:cs="Calibri"/>
                <w:color w:val="000000"/>
                <w:sz w:val="26"/>
                <w:szCs w:val="26"/>
              </w:rPr>
              <w:t xml:space="preserve">If a consultation room is now being used to provide CPCS and there is no IT equipment that can be used within it, contractors need to plan how they will provide access to such equipment. Learn more, </w:t>
            </w:r>
            <w:hyperlink r:id="rId15" w:history="1">
              <w:r w:rsidRPr="00C2368D">
                <w:rPr>
                  <w:rStyle w:val="Hyperlink"/>
                  <w:rFonts w:ascii="Calibri" w:hAnsi="Calibri" w:cs="Calibri"/>
                  <w:sz w:val="26"/>
                  <w:szCs w:val="26"/>
                </w:rPr>
                <w:t>HERE</w:t>
              </w:r>
            </w:hyperlink>
            <w:r w:rsidRPr="00C2368D">
              <w:rPr>
                <w:rFonts w:ascii="Calibri" w:hAnsi="Calibri" w:cs="Calibri"/>
                <w:color w:val="000000"/>
              </w:rPr>
              <w:t>.</w:t>
            </w:r>
          </w:p>
        </w:tc>
        <w:tc>
          <w:tcPr>
            <w:tcW w:w="992" w:type="dxa"/>
          </w:tcPr>
          <w:p w14:paraId="5181B416" w14:textId="77777777" w:rsidR="00C2368D" w:rsidRDefault="00C2368D" w:rsidP="00CB1004">
            <w:pPr>
              <w:spacing w:after="120"/>
              <w:rPr>
                <w:b/>
                <w:color w:val="0070C0"/>
                <w:sz w:val="26"/>
                <w:szCs w:val="26"/>
              </w:rPr>
            </w:pPr>
          </w:p>
        </w:tc>
      </w:tr>
      <w:tr w:rsidR="002B326E" w14:paraId="6BAC221A" w14:textId="77777777" w:rsidTr="0013044B">
        <w:tc>
          <w:tcPr>
            <w:tcW w:w="3090" w:type="dxa"/>
          </w:tcPr>
          <w:p w14:paraId="27D8F4B0" w14:textId="77777777" w:rsidR="002B326E" w:rsidRDefault="002B326E" w:rsidP="007B4D8B">
            <w:pPr>
              <w:spacing w:after="120"/>
              <w:rPr>
                <w:b/>
                <w:color w:val="0070C0"/>
                <w:sz w:val="26"/>
                <w:szCs w:val="26"/>
              </w:rPr>
            </w:pPr>
            <w:r>
              <w:rPr>
                <w:b/>
                <w:color w:val="0070C0"/>
                <w:sz w:val="26"/>
                <w:szCs w:val="26"/>
              </w:rPr>
              <w:t>PQS – Sale of Sugar Sweetened Beverages</w:t>
            </w:r>
          </w:p>
          <w:p w14:paraId="15A1516F" w14:textId="214BEC8F" w:rsidR="002B326E" w:rsidRDefault="002B326E" w:rsidP="007B4D8B">
            <w:pPr>
              <w:spacing w:after="120"/>
              <w:rPr>
                <w:b/>
                <w:color w:val="0070C0"/>
                <w:sz w:val="26"/>
                <w:szCs w:val="26"/>
              </w:rPr>
            </w:pPr>
            <w:r w:rsidRPr="002B326E">
              <w:rPr>
                <w:b/>
                <w:color w:val="FF0000"/>
                <w:sz w:val="26"/>
                <w:szCs w:val="26"/>
              </w:rPr>
              <w:t>31</w:t>
            </w:r>
            <w:r w:rsidRPr="002B326E">
              <w:rPr>
                <w:b/>
                <w:color w:val="FF0000"/>
                <w:sz w:val="26"/>
                <w:szCs w:val="26"/>
                <w:vertAlign w:val="superscript"/>
              </w:rPr>
              <w:t>st</w:t>
            </w:r>
            <w:r w:rsidRPr="002B326E">
              <w:rPr>
                <w:b/>
                <w:color w:val="FF0000"/>
                <w:sz w:val="26"/>
                <w:szCs w:val="26"/>
              </w:rPr>
              <w:t xml:space="preserve"> March 2020</w:t>
            </w:r>
          </w:p>
        </w:tc>
        <w:tc>
          <w:tcPr>
            <w:tcW w:w="6975" w:type="dxa"/>
          </w:tcPr>
          <w:p w14:paraId="68BDCE43" w14:textId="3CF9A35D" w:rsidR="002B326E" w:rsidRPr="00C2368D" w:rsidRDefault="002B326E" w:rsidP="0044030D">
            <w:pPr>
              <w:rPr>
                <w:sz w:val="26"/>
                <w:szCs w:val="26"/>
              </w:rPr>
            </w:pPr>
            <w:r>
              <w:rPr>
                <w:sz w:val="26"/>
                <w:szCs w:val="26"/>
              </w:rPr>
              <w:t xml:space="preserve">Pharmacy contractors need to review the beverages they sell in their pharmacy to ensure that the sales of SSBs account for no more than 10% by volume of all beverages sold.  Contractors will need to </w:t>
            </w:r>
            <w:r w:rsidR="00715443">
              <w:rPr>
                <w:sz w:val="26"/>
                <w:szCs w:val="26"/>
              </w:rPr>
              <w:t xml:space="preserve">have </w:t>
            </w:r>
            <w:r>
              <w:rPr>
                <w:sz w:val="26"/>
                <w:szCs w:val="26"/>
              </w:rPr>
              <w:t>declare</w:t>
            </w:r>
            <w:r w:rsidR="00715443">
              <w:rPr>
                <w:sz w:val="26"/>
                <w:szCs w:val="26"/>
              </w:rPr>
              <w:t>d</w:t>
            </w:r>
            <w:r>
              <w:rPr>
                <w:sz w:val="26"/>
                <w:szCs w:val="26"/>
              </w:rPr>
              <w:t xml:space="preserve"> that they meet this criterion on the day of the PQS declaration or that they will be meeting this criterion by the 31</w:t>
            </w:r>
            <w:r w:rsidRPr="002B326E">
              <w:rPr>
                <w:sz w:val="26"/>
                <w:szCs w:val="26"/>
                <w:vertAlign w:val="superscript"/>
              </w:rPr>
              <w:t>st</w:t>
            </w:r>
            <w:r>
              <w:rPr>
                <w:sz w:val="26"/>
                <w:szCs w:val="26"/>
              </w:rPr>
              <w:t xml:space="preserve"> March 2020</w:t>
            </w:r>
          </w:p>
        </w:tc>
        <w:tc>
          <w:tcPr>
            <w:tcW w:w="992" w:type="dxa"/>
          </w:tcPr>
          <w:p w14:paraId="549ED05B" w14:textId="77777777" w:rsidR="002B326E" w:rsidRDefault="002B326E" w:rsidP="00CB1004">
            <w:pPr>
              <w:spacing w:after="120"/>
              <w:rPr>
                <w:b/>
                <w:color w:val="0070C0"/>
                <w:sz w:val="26"/>
                <w:szCs w:val="26"/>
              </w:rPr>
            </w:pPr>
          </w:p>
        </w:tc>
      </w:tr>
      <w:tr w:rsidR="00A9442A" w14:paraId="060FE02D" w14:textId="77777777" w:rsidTr="0013044B">
        <w:tc>
          <w:tcPr>
            <w:tcW w:w="3090" w:type="dxa"/>
          </w:tcPr>
          <w:p w14:paraId="0CE91C48" w14:textId="77777777" w:rsidR="00A9442A" w:rsidRDefault="003F0B21" w:rsidP="00A9442A">
            <w:pPr>
              <w:spacing w:after="120"/>
              <w:rPr>
                <w:b/>
                <w:color w:val="0070C0"/>
                <w:sz w:val="26"/>
                <w:szCs w:val="26"/>
              </w:rPr>
            </w:pPr>
            <w:r>
              <w:rPr>
                <w:b/>
                <w:color w:val="0070C0"/>
                <w:sz w:val="26"/>
                <w:szCs w:val="26"/>
              </w:rPr>
              <w:t>Healthy Living Pharmacy</w:t>
            </w:r>
          </w:p>
          <w:p w14:paraId="7C1196CF" w14:textId="0F319578" w:rsidR="003F0B21" w:rsidRDefault="003F0B21" w:rsidP="0013044B">
            <w:pPr>
              <w:spacing w:after="120"/>
              <w:rPr>
                <w:b/>
                <w:color w:val="0070C0"/>
                <w:sz w:val="26"/>
                <w:szCs w:val="26"/>
              </w:rPr>
            </w:pPr>
            <w:r>
              <w:rPr>
                <w:b/>
                <w:color w:val="0070C0"/>
                <w:sz w:val="26"/>
                <w:szCs w:val="26"/>
              </w:rPr>
              <w:t xml:space="preserve">Contractual requirement from </w:t>
            </w:r>
            <w:r w:rsidRPr="002B326E">
              <w:rPr>
                <w:b/>
                <w:color w:val="FF0000"/>
                <w:sz w:val="26"/>
                <w:szCs w:val="26"/>
              </w:rPr>
              <w:t>1</w:t>
            </w:r>
            <w:r w:rsidRPr="002B326E">
              <w:rPr>
                <w:b/>
                <w:color w:val="FF0000"/>
                <w:sz w:val="26"/>
                <w:szCs w:val="26"/>
                <w:vertAlign w:val="superscript"/>
              </w:rPr>
              <w:t>st</w:t>
            </w:r>
            <w:r w:rsidRPr="002B326E">
              <w:rPr>
                <w:b/>
                <w:color w:val="FF0000"/>
                <w:sz w:val="26"/>
                <w:szCs w:val="26"/>
              </w:rPr>
              <w:t xml:space="preserve"> April 2020</w:t>
            </w:r>
            <w:r w:rsidR="002B326E" w:rsidRPr="00C2368D">
              <w:rPr>
                <w:bCs/>
                <w:sz w:val="26"/>
                <w:szCs w:val="26"/>
              </w:rPr>
              <w:t xml:space="preserve"> </w:t>
            </w:r>
          </w:p>
        </w:tc>
        <w:tc>
          <w:tcPr>
            <w:tcW w:w="6975" w:type="dxa"/>
          </w:tcPr>
          <w:p w14:paraId="49D37551" w14:textId="7649FB10" w:rsidR="003F0B21" w:rsidRPr="00C2368D" w:rsidRDefault="00793B09" w:rsidP="00715443">
            <w:pPr>
              <w:rPr>
                <w:sz w:val="26"/>
                <w:szCs w:val="26"/>
              </w:rPr>
            </w:pPr>
            <w:r>
              <w:rPr>
                <w:sz w:val="26"/>
                <w:szCs w:val="26"/>
              </w:rPr>
              <w:t xml:space="preserve">HLP becomes an essential service as part of the Community Pharmacy Contractual Framework and all contractors will be required to be HLP Level 1 as part of their Terms of Service. </w:t>
            </w:r>
          </w:p>
        </w:tc>
        <w:tc>
          <w:tcPr>
            <w:tcW w:w="992" w:type="dxa"/>
          </w:tcPr>
          <w:p w14:paraId="5048707A" w14:textId="77777777" w:rsidR="00A9442A" w:rsidRDefault="00A9442A" w:rsidP="00A9442A">
            <w:pPr>
              <w:spacing w:after="120"/>
              <w:rPr>
                <w:b/>
                <w:color w:val="0070C0"/>
                <w:sz w:val="26"/>
                <w:szCs w:val="26"/>
              </w:rPr>
            </w:pPr>
          </w:p>
        </w:tc>
      </w:tr>
      <w:tr w:rsidR="00E1002E" w14:paraId="0E5846D8" w14:textId="77777777" w:rsidTr="0013044B">
        <w:tc>
          <w:tcPr>
            <w:tcW w:w="3090" w:type="dxa"/>
          </w:tcPr>
          <w:p w14:paraId="71304058" w14:textId="2E43F319" w:rsidR="00793B09" w:rsidRPr="00793B09" w:rsidRDefault="00793B09" w:rsidP="00E1002E">
            <w:pPr>
              <w:spacing w:after="120"/>
              <w:rPr>
                <w:rFonts w:cstheme="minorHAnsi"/>
                <w:b/>
                <w:color w:val="FF0000"/>
                <w:sz w:val="26"/>
                <w:szCs w:val="26"/>
              </w:rPr>
            </w:pPr>
            <w:r>
              <w:rPr>
                <w:rFonts w:cstheme="minorHAnsi"/>
                <w:b/>
                <w:color w:val="0070C0"/>
                <w:sz w:val="26"/>
                <w:szCs w:val="26"/>
              </w:rPr>
              <w:t xml:space="preserve">NHS Flu Vaccination Service ends on </w:t>
            </w:r>
            <w:r w:rsidRPr="00793B09">
              <w:rPr>
                <w:rFonts w:cstheme="minorHAnsi"/>
                <w:b/>
                <w:color w:val="FF0000"/>
                <w:sz w:val="26"/>
                <w:szCs w:val="26"/>
              </w:rPr>
              <w:t>31</w:t>
            </w:r>
            <w:r w:rsidRPr="00793B09">
              <w:rPr>
                <w:rFonts w:cstheme="minorHAnsi"/>
                <w:b/>
                <w:color w:val="FF0000"/>
                <w:sz w:val="26"/>
                <w:szCs w:val="26"/>
                <w:vertAlign w:val="superscript"/>
              </w:rPr>
              <w:t>st</w:t>
            </w:r>
            <w:r w:rsidRPr="00793B09">
              <w:rPr>
                <w:rFonts w:cstheme="minorHAnsi"/>
                <w:b/>
                <w:color w:val="FF0000"/>
                <w:sz w:val="26"/>
                <w:szCs w:val="26"/>
              </w:rPr>
              <w:t xml:space="preserve"> March 2020</w:t>
            </w:r>
          </w:p>
          <w:p w14:paraId="7FD1D2BB" w14:textId="77777777" w:rsidR="00793B09" w:rsidRDefault="00793B09" w:rsidP="00E1002E">
            <w:pPr>
              <w:spacing w:after="120"/>
              <w:rPr>
                <w:rFonts w:cstheme="minorHAnsi"/>
                <w:b/>
                <w:color w:val="0070C0"/>
                <w:sz w:val="26"/>
                <w:szCs w:val="26"/>
              </w:rPr>
            </w:pPr>
          </w:p>
          <w:p w14:paraId="10EDE6F2" w14:textId="77777777" w:rsidR="00793B09" w:rsidRDefault="00793B09" w:rsidP="00E1002E">
            <w:pPr>
              <w:spacing w:after="120"/>
              <w:rPr>
                <w:rFonts w:cstheme="minorHAnsi"/>
                <w:b/>
                <w:color w:val="0070C0"/>
                <w:sz w:val="26"/>
                <w:szCs w:val="26"/>
              </w:rPr>
            </w:pPr>
          </w:p>
          <w:p w14:paraId="473E497A" w14:textId="77777777" w:rsidR="00793B09" w:rsidRDefault="00793B09" w:rsidP="00E1002E">
            <w:pPr>
              <w:spacing w:after="120"/>
              <w:rPr>
                <w:rFonts w:cstheme="minorHAnsi"/>
                <w:b/>
                <w:color w:val="0070C0"/>
                <w:sz w:val="26"/>
                <w:szCs w:val="26"/>
              </w:rPr>
            </w:pPr>
          </w:p>
          <w:p w14:paraId="70F3C7E4" w14:textId="11C17F53" w:rsidR="00E1002E" w:rsidRDefault="003F0B21" w:rsidP="00E1002E">
            <w:pPr>
              <w:spacing w:after="120"/>
              <w:rPr>
                <w:rFonts w:cstheme="minorHAnsi"/>
                <w:b/>
                <w:color w:val="0070C0"/>
                <w:sz w:val="26"/>
                <w:szCs w:val="26"/>
              </w:rPr>
            </w:pPr>
            <w:r>
              <w:rPr>
                <w:rFonts w:cstheme="minorHAnsi"/>
                <w:b/>
                <w:color w:val="0070C0"/>
                <w:sz w:val="26"/>
                <w:szCs w:val="26"/>
              </w:rPr>
              <w:t xml:space="preserve">Flu vaccination Ordering </w:t>
            </w:r>
          </w:p>
        </w:tc>
        <w:tc>
          <w:tcPr>
            <w:tcW w:w="6975" w:type="dxa"/>
          </w:tcPr>
          <w:p w14:paraId="0EA9DCAF" w14:textId="1D091B4D" w:rsidR="00793B09" w:rsidRDefault="00793B09" w:rsidP="002B326E">
            <w:pPr>
              <w:rPr>
                <w:rFonts w:cstheme="minorHAnsi"/>
                <w:color w:val="000000"/>
                <w:sz w:val="26"/>
                <w:szCs w:val="26"/>
              </w:rPr>
            </w:pPr>
            <w:r>
              <w:rPr>
                <w:rFonts w:cstheme="minorHAnsi"/>
                <w:color w:val="000000"/>
                <w:sz w:val="26"/>
                <w:szCs w:val="26"/>
              </w:rPr>
              <w:t xml:space="preserve">Community Pharmacy contractors can claim payment monthly for NHS Flu Vaccination on Manage Your Service </w:t>
            </w:r>
            <w:hyperlink r:id="rId16" w:history="1">
              <w:r w:rsidRPr="00793B09">
                <w:rPr>
                  <w:rStyle w:val="Hyperlink"/>
                  <w:rFonts w:cstheme="minorHAnsi"/>
                  <w:sz w:val="26"/>
                  <w:szCs w:val="26"/>
                </w:rPr>
                <w:t xml:space="preserve">(MYS). </w:t>
              </w:r>
            </w:hyperlink>
            <w:r>
              <w:rPr>
                <w:rFonts w:cstheme="minorHAnsi"/>
                <w:color w:val="000000"/>
                <w:sz w:val="26"/>
                <w:szCs w:val="26"/>
              </w:rPr>
              <w:t xml:space="preserve"> Please ensure at the end of the day (on 31</w:t>
            </w:r>
            <w:r w:rsidRPr="00793B09">
              <w:rPr>
                <w:rFonts w:cstheme="minorHAnsi"/>
                <w:color w:val="000000"/>
                <w:sz w:val="26"/>
                <w:szCs w:val="26"/>
                <w:vertAlign w:val="superscript"/>
              </w:rPr>
              <w:t>st</w:t>
            </w:r>
            <w:r>
              <w:rPr>
                <w:rFonts w:cstheme="minorHAnsi"/>
                <w:color w:val="000000"/>
                <w:sz w:val="26"/>
                <w:szCs w:val="26"/>
              </w:rPr>
              <w:t xml:space="preserve"> March 2020) to remove any promotional materials for the Flu Vaccination Service and ensure all staff are aware that the service has finished for 2019-20 </w:t>
            </w:r>
          </w:p>
          <w:p w14:paraId="0099CC91" w14:textId="77777777" w:rsidR="00793B09" w:rsidRPr="00297CEC" w:rsidRDefault="00793B09" w:rsidP="002B326E">
            <w:pPr>
              <w:rPr>
                <w:rFonts w:cstheme="minorHAnsi"/>
                <w:color w:val="000000"/>
                <w:sz w:val="12"/>
                <w:szCs w:val="12"/>
              </w:rPr>
            </w:pPr>
          </w:p>
          <w:p w14:paraId="53487787" w14:textId="2583D874" w:rsidR="00E1002E" w:rsidRDefault="003F0B21" w:rsidP="002B326E">
            <w:r w:rsidRPr="003F0B21">
              <w:rPr>
                <w:rFonts w:cstheme="minorHAnsi"/>
                <w:color w:val="000000"/>
                <w:sz w:val="26"/>
                <w:szCs w:val="26"/>
              </w:rPr>
              <w:t xml:space="preserve">Public Health England (PHE) has advised that </w:t>
            </w:r>
            <w:r w:rsidR="008D0D65" w:rsidRPr="003F0B21">
              <w:rPr>
                <w:rFonts w:cstheme="minorHAnsi"/>
                <w:color w:val="000000"/>
                <w:sz w:val="26"/>
                <w:szCs w:val="26"/>
              </w:rPr>
              <w:t>both vaccines</w:t>
            </w:r>
            <w:r w:rsidR="008670C4">
              <w:rPr>
                <w:rFonts w:cstheme="minorHAnsi"/>
                <w:color w:val="000000"/>
                <w:sz w:val="26"/>
                <w:szCs w:val="26"/>
              </w:rPr>
              <w:t xml:space="preserve"> </w:t>
            </w:r>
            <w:r w:rsidRPr="003F0B21">
              <w:rPr>
                <w:rFonts w:cstheme="minorHAnsi"/>
                <w:color w:val="000000"/>
                <w:sz w:val="26"/>
                <w:szCs w:val="26"/>
              </w:rPr>
              <w:t xml:space="preserve">that were recommended for the 2018/19 season (quadrivalent inactivated vaccine and adjuvanted trivalent inactivated vaccine) will continue to be recommended for next year. </w:t>
            </w:r>
            <w:r w:rsidR="002B326E">
              <w:rPr>
                <w:rFonts w:cstheme="minorHAnsi"/>
                <w:color w:val="000000"/>
                <w:sz w:val="26"/>
                <w:szCs w:val="26"/>
              </w:rPr>
              <w:t xml:space="preserve">  </w:t>
            </w:r>
            <w:r w:rsidRPr="003F0B21">
              <w:rPr>
                <w:rFonts w:cstheme="minorHAnsi"/>
                <w:color w:val="000000"/>
                <w:sz w:val="26"/>
                <w:szCs w:val="26"/>
              </w:rPr>
              <w:t>Find out more about placing your orders at: </w:t>
            </w:r>
            <w:hyperlink r:id="rId17" w:history="1">
              <w:r w:rsidRPr="003F0B21">
                <w:rPr>
                  <w:rStyle w:val="Hyperlink"/>
                  <w:sz w:val="26"/>
                  <w:szCs w:val="26"/>
                </w:rPr>
                <w:t>ow.ly/eNO430mHG5q</w:t>
              </w:r>
            </w:hyperlink>
          </w:p>
        </w:tc>
        <w:tc>
          <w:tcPr>
            <w:tcW w:w="992" w:type="dxa"/>
          </w:tcPr>
          <w:p w14:paraId="1E1E6012" w14:textId="77777777" w:rsidR="00E1002E" w:rsidRDefault="00E1002E" w:rsidP="00A9442A">
            <w:pPr>
              <w:spacing w:after="120"/>
              <w:rPr>
                <w:b/>
                <w:color w:val="0070C0"/>
                <w:sz w:val="26"/>
                <w:szCs w:val="26"/>
              </w:rPr>
            </w:pPr>
          </w:p>
        </w:tc>
      </w:tr>
      <w:tr w:rsidR="00297CEC" w14:paraId="604C119D" w14:textId="77777777" w:rsidTr="0013044B">
        <w:tc>
          <w:tcPr>
            <w:tcW w:w="3090" w:type="dxa"/>
          </w:tcPr>
          <w:p w14:paraId="4159AC77" w14:textId="77777777" w:rsidR="00297CEC" w:rsidRPr="00297CEC" w:rsidRDefault="00297CEC" w:rsidP="00A9442A">
            <w:pPr>
              <w:spacing w:after="120"/>
              <w:rPr>
                <w:rFonts w:cstheme="minorHAnsi"/>
                <w:b/>
                <w:color w:val="FF0000"/>
                <w:sz w:val="26"/>
                <w:szCs w:val="26"/>
              </w:rPr>
            </w:pPr>
            <w:r>
              <w:rPr>
                <w:rFonts w:cstheme="minorHAnsi"/>
                <w:b/>
                <w:color w:val="365F91" w:themeColor="accent1" w:themeShade="BF"/>
                <w:sz w:val="26"/>
                <w:szCs w:val="26"/>
              </w:rPr>
              <w:lastRenderedPageBreak/>
              <w:t xml:space="preserve">Pharmacy First – New Service Specification </w:t>
            </w:r>
            <w:r w:rsidRPr="00297CEC">
              <w:rPr>
                <w:rFonts w:cstheme="minorHAnsi"/>
                <w:b/>
                <w:color w:val="FF0000"/>
                <w:sz w:val="26"/>
                <w:szCs w:val="26"/>
              </w:rPr>
              <w:t>from 1</w:t>
            </w:r>
            <w:r w:rsidRPr="00297CEC">
              <w:rPr>
                <w:rFonts w:cstheme="minorHAnsi"/>
                <w:b/>
                <w:color w:val="FF0000"/>
                <w:sz w:val="26"/>
                <w:szCs w:val="26"/>
                <w:vertAlign w:val="superscript"/>
              </w:rPr>
              <w:t>st</w:t>
            </w:r>
            <w:r w:rsidRPr="00297CEC">
              <w:rPr>
                <w:rFonts w:cstheme="minorHAnsi"/>
                <w:b/>
                <w:color w:val="FF0000"/>
                <w:sz w:val="26"/>
                <w:szCs w:val="26"/>
              </w:rPr>
              <w:t xml:space="preserve"> April</w:t>
            </w:r>
          </w:p>
          <w:p w14:paraId="596B1088" w14:textId="77777777" w:rsidR="00297CEC" w:rsidRDefault="00297CEC" w:rsidP="00A9442A">
            <w:pPr>
              <w:spacing w:after="120"/>
              <w:rPr>
                <w:rFonts w:cstheme="minorHAnsi"/>
                <w:b/>
                <w:color w:val="365F91" w:themeColor="accent1" w:themeShade="BF"/>
                <w:sz w:val="26"/>
                <w:szCs w:val="26"/>
              </w:rPr>
            </w:pPr>
          </w:p>
          <w:p w14:paraId="26342513" w14:textId="4AB99046" w:rsidR="00297CEC" w:rsidRDefault="00297CEC" w:rsidP="00A9442A">
            <w:pPr>
              <w:spacing w:after="120"/>
              <w:rPr>
                <w:rFonts w:cstheme="minorHAnsi"/>
                <w:b/>
                <w:color w:val="365F91" w:themeColor="accent1" w:themeShade="BF"/>
                <w:sz w:val="26"/>
                <w:szCs w:val="26"/>
              </w:rPr>
            </w:pPr>
            <w:r w:rsidRPr="00297CEC">
              <w:rPr>
                <w:rFonts w:cstheme="minorHAnsi"/>
                <w:b/>
                <w:color w:val="FF0000"/>
                <w:sz w:val="26"/>
                <w:szCs w:val="26"/>
              </w:rPr>
              <w:t>Complete Contractor Sign Up and Assurance Sheet by 31</w:t>
            </w:r>
            <w:r w:rsidRPr="00297CEC">
              <w:rPr>
                <w:rFonts w:cstheme="minorHAnsi"/>
                <w:b/>
                <w:color w:val="FF0000"/>
                <w:sz w:val="26"/>
                <w:szCs w:val="26"/>
                <w:vertAlign w:val="superscript"/>
              </w:rPr>
              <w:t>st</w:t>
            </w:r>
            <w:r w:rsidRPr="00297CEC">
              <w:rPr>
                <w:rFonts w:cstheme="minorHAnsi"/>
                <w:b/>
                <w:color w:val="FF0000"/>
                <w:sz w:val="26"/>
                <w:szCs w:val="26"/>
              </w:rPr>
              <w:t xml:space="preserve"> March 2020</w:t>
            </w:r>
          </w:p>
        </w:tc>
        <w:tc>
          <w:tcPr>
            <w:tcW w:w="6975" w:type="dxa"/>
          </w:tcPr>
          <w:p w14:paraId="3BDEF037" w14:textId="77777777" w:rsidR="00297CEC" w:rsidRDefault="00297CEC" w:rsidP="00297CEC">
            <w:pPr>
              <w:spacing w:before="120" w:after="120"/>
              <w:rPr>
                <w:sz w:val="26"/>
                <w:szCs w:val="26"/>
              </w:rPr>
            </w:pPr>
            <w:r w:rsidRPr="00297CEC">
              <w:rPr>
                <w:sz w:val="26"/>
                <w:szCs w:val="26"/>
              </w:rPr>
              <w:t>From 1st April 2020, a new service specification for Pharmacy First will replace the existing specification. Following review and approval of the Devon Local Pharmaceutical Committee (LPC), the new Pharmacy First service specification has been agreed, and is due to run for 2 years from 1st April 2020 to 31st March 2022.</w:t>
            </w:r>
          </w:p>
          <w:p w14:paraId="1D759D48" w14:textId="77777777" w:rsidR="00297CEC" w:rsidRDefault="00297CEC" w:rsidP="00297CEC">
            <w:pPr>
              <w:spacing w:before="120" w:after="120"/>
              <w:rPr>
                <w:sz w:val="26"/>
                <w:szCs w:val="26"/>
              </w:rPr>
            </w:pPr>
            <w:r w:rsidRPr="00297CEC">
              <w:rPr>
                <w:sz w:val="26"/>
                <w:szCs w:val="26"/>
              </w:rPr>
              <w:t xml:space="preserve">You will have been sent the new documentation for 2020-22 via email and/or </w:t>
            </w:r>
            <w:proofErr w:type="spellStart"/>
            <w:r w:rsidRPr="00297CEC">
              <w:rPr>
                <w:sz w:val="26"/>
                <w:szCs w:val="26"/>
              </w:rPr>
              <w:t>PharmOutcomes</w:t>
            </w:r>
            <w:proofErr w:type="spellEnd"/>
            <w:r w:rsidRPr="00297CEC">
              <w:rPr>
                <w:sz w:val="26"/>
                <w:szCs w:val="26"/>
              </w:rPr>
              <w:t>, which includes:</w:t>
            </w:r>
            <w:r w:rsidRPr="00297CEC">
              <w:rPr>
                <w:sz w:val="26"/>
                <w:szCs w:val="26"/>
              </w:rPr>
              <w:br/>
              <w:t>•The new Pharmacy First Service Specification 2020-22</w:t>
            </w:r>
            <w:r w:rsidRPr="00297CEC">
              <w:rPr>
                <w:sz w:val="26"/>
                <w:szCs w:val="26"/>
              </w:rPr>
              <w:br/>
              <w:t>•The Pharmacy Contractor Sign Up and Assurance sheet</w:t>
            </w:r>
          </w:p>
          <w:p w14:paraId="397F1F3F" w14:textId="0CF1F32F" w:rsidR="00297CEC" w:rsidRPr="00297CEC" w:rsidRDefault="00297CEC" w:rsidP="00297CEC">
            <w:pPr>
              <w:spacing w:before="120" w:after="120"/>
              <w:rPr>
                <w:sz w:val="26"/>
                <w:szCs w:val="26"/>
              </w:rPr>
            </w:pPr>
            <w:r w:rsidRPr="00297CEC">
              <w:rPr>
                <w:sz w:val="26"/>
                <w:szCs w:val="26"/>
              </w:rPr>
              <w:t xml:space="preserve">Please complete a copy of the Pharmacy Contractor Sign Up and Assurance sheet to indicate </w:t>
            </w:r>
            <w:proofErr w:type="gramStart"/>
            <w:r w:rsidRPr="00297CEC">
              <w:rPr>
                <w:sz w:val="26"/>
                <w:szCs w:val="26"/>
              </w:rPr>
              <w:t>whether or not</w:t>
            </w:r>
            <w:proofErr w:type="gramEnd"/>
            <w:r w:rsidRPr="00297CEC">
              <w:rPr>
                <w:sz w:val="26"/>
                <w:szCs w:val="26"/>
              </w:rPr>
              <w:t xml:space="preserve"> you will provide the service under the new terms of the service specification, and return your completed form as indicated. If you are not the appropriate person to sign on behalf of your organisation, please ensure this is fed back to the relevant person (as indicated in the correspondence you have received) before 31</w:t>
            </w:r>
            <w:r w:rsidRPr="00297CEC">
              <w:rPr>
                <w:sz w:val="26"/>
                <w:szCs w:val="26"/>
                <w:vertAlign w:val="superscript"/>
              </w:rPr>
              <w:t>st</w:t>
            </w:r>
            <w:r w:rsidRPr="00297CEC">
              <w:rPr>
                <w:sz w:val="26"/>
                <w:szCs w:val="26"/>
              </w:rPr>
              <w:t xml:space="preserve"> March 2020.</w:t>
            </w:r>
          </w:p>
        </w:tc>
        <w:tc>
          <w:tcPr>
            <w:tcW w:w="992" w:type="dxa"/>
          </w:tcPr>
          <w:p w14:paraId="5CDE8974" w14:textId="77777777" w:rsidR="00297CEC" w:rsidRDefault="00297CEC" w:rsidP="00A9442A">
            <w:pPr>
              <w:spacing w:after="120"/>
              <w:rPr>
                <w:b/>
                <w:color w:val="0070C0"/>
                <w:sz w:val="26"/>
                <w:szCs w:val="26"/>
              </w:rPr>
            </w:pPr>
          </w:p>
        </w:tc>
      </w:tr>
      <w:tr w:rsidR="00A9442A" w14:paraId="50B3842C" w14:textId="77777777" w:rsidTr="0013044B">
        <w:tc>
          <w:tcPr>
            <w:tcW w:w="3090" w:type="dxa"/>
          </w:tcPr>
          <w:p w14:paraId="5DACA5C6" w14:textId="77777777" w:rsidR="00A9442A" w:rsidRDefault="0044030D" w:rsidP="00A9442A">
            <w:pPr>
              <w:spacing w:after="120"/>
              <w:rPr>
                <w:rFonts w:cstheme="minorHAnsi"/>
                <w:b/>
                <w:color w:val="365F91" w:themeColor="accent1" w:themeShade="BF"/>
                <w:sz w:val="26"/>
                <w:szCs w:val="26"/>
              </w:rPr>
            </w:pPr>
            <w:r>
              <w:rPr>
                <w:rFonts w:cstheme="minorHAnsi"/>
                <w:b/>
                <w:color w:val="365F91" w:themeColor="accent1" w:themeShade="BF"/>
                <w:sz w:val="26"/>
                <w:szCs w:val="26"/>
              </w:rPr>
              <w:t>Educational Sessions provided through the Devon Training Hub</w:t>
            </w:r>
          </w:p>
          <w:p w14:paraId="7F204132" w14:textId="77777777" w:rsidR="0044030D" w:rsidRPr="0044030D" w:rsidRDefault="0044030D" w:rsidP="00A9442A">
            <w:pPr>
              <w:spacing w:after="120"/>
              <w:rPr>
                <w:rFonts w:cstheme="minorHAnsi"/>
                <w:b/>
                <w:color w:val="FF0000"/>
                <w:sz w:val="26"/>
                <w:szCs w:val="26"/>
              </w:rPr>
            </w:pPr>
            <w:r w:rsidRPr="0044030D">
              <w:rPr>
                <w:rFonts w:cstheme="minorHAnsi"/>
                <w:b/>
                <w:color w:val="FF0000"/>
                <w:sz w:val="26"/>
                <w:szCs w:val="26"/>
              </w:rPr>
              <w:t>Acute Presentations of minor illnesses</w:t>
            </w:r>
          </w:p>
          <w:p w14:paraId="698E831D" w14:textId="4F1851B5" w:rsidR="0044030D" w:rsidRPr="00F905EA" w:rsidRDefault="0044030D" w:rsidP="00A9442A">
            <w:pPr>
              <w:spacing w:after="120"/>
              <w:rPr>
                <w:rFonts w:cstheme="minorHAnsi"/>
                <w:b/>
                <w:color w:val="365F91" w:themeColor="accent1" w:themeShade="BF"/>
                <w:sz w:val="26"/>
                <w:szCs w:val="26"/>
              </w:rPr>
            </w:pPr>
            <w:r w:rsidRPr="0044030D">
              <w:rPr>
                <w:rFonts w:cstheme="minorHAnsi"/>
                <w:b/>
                <w:color w:val="FF0000"/>
                <w:sz w:val="26"/>
                <w:szCs w:val="26"/>
              </w:rPr>
              <w:t>Red Whale Clinical Update Training</w:t>
            </w:r>
          </w:p>
        </w:tc>
        <w:tc>
          <w:tcPr>
            <w:tcW w:w="6975" w:type="dxa"/>
          </w:tcPr>
          <w:p w14:paraId="2817A155" w14:textId="01664C12" w:rsidR="0044030D" w:rsidRPr="0044030D" w:rsidRDefault="0044030D" w:rsidP="0044030D">
            <w:pPr>
              <w:autoSpaceDE w:val="0"/>
              <w:autoSpaceDN w:val="0"/>
              <w:adjustRightInd w:val="0"/>
              <w:rPr>
                <w:rFonts w:ascii="Calibri" w:hAnsi="Calibri" w:cs="Calibri"/>
                <w:color w:val="000000"/>
                <w:sz w:val="26"/>
                <w:szCs w:val="26"/>
              </w:rPr>
            </w:pPr>
            <w:r w:rsidRPr="0044030D">
              <w:rPr>
                <w:rFonts w:ascii="Calibri" w:hAnsi="Calibri" w:cs="Calibri"/>
                <w:color w:val="000000"/>
                <w:sz w:val="26"/>
                <w:szCs w:val="26"/>
              </w:rPr>
              <w:t xml:space="preserve">Devon LPC is delighted to announce a new </w:t>
            </w:r>
            <w:hyperlink r:id="rId18" w:history="1">
              <w:r w:rsidRPr="0044030D">
                <w:rPr>
                  <w:rStyle w:val="Hyperlink"/>
                  <w:rFonts w:ascii="Calibri" w:hAnsi="Calibri" w:cs="Calibri"/>
                  <w:sz w:val="26"/>
                  <w:szCs w:val="26"/>
                </w:rPr>
                <w:t>three-day course</w:t>
              </w:r>
            </w:hyperlink>
            <w:r w:rsidRPr="0044030D">
              <w:rPr>
                <w:rFonts w:ascii="Calibri" w:hAnsi="Calibri" w:cs="Calibri"/>
                <w:color w:val="000000"/>
                <w:sz w:val="26"/>
                <w:szCs w:val="26"/>
              </w:rPr>
              <w:t xml:space="preserve"> on acute presentations of minor illnesses; and two </w:t>
            </w:r>
            <w:hyperlink r:id="rId19" w:history="1">
              <w:r w:rsidRPr="0044030D">
                <w:rPr>
                  <w:rStyle w:val="Hyperlink"/>
                  <w:rFonts w:ascii="Calibri" w:hAnsi="Calibri" w:cs="Calibri"/>
                  <w:sz w:val="26"/>
                  <w:szCs w:val="26"/>
                </w:rPr>
                <w:t>Red Whale Clinical Update</w:t>
              </w:r>
            </w:hyperlink>
            <w:r w:rsidRPr="0044030D">
              <w:rPr>
                <w:rFonts w:ascii="Calibri" w:hAnsi="Calibri" w:cs="Calibri"/>
                <w:color w:val="000000"/>
                <w:sz w:val="26"/>
                <w:szCs w:val="26"/>
              </w:rPr>
              <w:t xml:space="preserve"> courses. Free for all pharmacists in Devon and providing excellent CPD opportunities. </w:t>
            </w:r>
          </w:p>
          <w:p w14:paraId="1F252F35" w14:textId="77777777" w:rsidR="0044030D" w:rsidRPr="00297CEC" w:rsidRDefault="0044030D" w:rsidP="0044030D">
            <w:pPr>
              <w:autoSpaceDE w:val="0"/>
              <w:autoSpaceDN w:val="0"/>
              <w:adjustRightInd w:val="0"/>
              <w:rPr>
                <w:rFonts w:ascii="Calibri" w:hAnsi="Calibri" w:cs="Calibri"/>
                <w:color w:val="000000"/>
                <w:sz w:val="12"/>
                <w:szCs w:val="12"/>
              </w:rPr>
            </w:pPr>
          </w:p>
          <w:p w14:paraId="4B576F6D" w14:textId="5E2F0FA5" w:rsidR="0044030D" w:rsidRPr="0044030D" w:rsidRDefault="0044030D" w:rsidP="002B326E">
            <w:pPr>
              <w:autoSpaceDE w:val="0"/>
              <w:autoSpaceDN w:val="0"/>
              <w:adjustRightInd w:val="0"/>
              <w:rPr>
                <w:rFonts w:ascii="Calibri" w:hAnsi="Calibri" w:cs="Calibri"/>
                <w:b/>
                <w:bCs/>
                <w:color w:val="000000"/>
                <w:sz w:val="26"/>
                <w:szCs w:val="26"/>
              </w:rPr>
            </w:pPr>
            <w:r w:rsidRPr="0044030D">
              <w:rPr>
                <w:rFonts w:ascii="Calibri" w:hAnsi="Calibri" w:cs="Calibri"/>
                <w:color w:val="000000"/>
                <w:sz w:val="26"/>
                <w:szCs w:val="26"/>
              </w:rPr>
              <w:t xml:space="preserve">Attending Red Whale events also brings the benefit of being able to access fantastic resources and CPD opportunities free of charge for a year and are well worth attending even if only part of the day appeals. </w:t>
            </w:r>
          </w:p>
          <w:p w14:paraId="53BE9E1B" w14:textId="6C09B451" w:rsidR="00A9442A" w:rsidRPr="002B326E" w:rsidRDefault="0044030D" w:rsidP="0044030D">
            <w:pPr>
              <w:rPr>
                <w:i/>
                <w:iCs/>
              </w:rPr>
            </w:pPr>
            <w:r w:rsidRPr="002B326E">
              <w:rPr>
                <w:rFonts w:ascii="Calibri" w:hAnsi="Calibri" w:cs="Calibri"/>
                <w:b/>
                <w:bCs/>
                <w:i/>
                <w:iCs/>
                <w:color w:val="FF0000"/>
                <w:sz w:val="26"/>
                <w:szCs w:val="26"/>
              </w:rPr>
              <w:t>Follow the links above for full course information and details of how to book</w:t>
            </w:r>
          </w:p>
        </w:tc>
        <w:tc>
          <w:tcPr>
            <w:tcW w:w="992" w:type="dxa"/>
          </w:tcPr>
          <w:p w14:paraId="52C45311" w14:textId="77777777" w:rsidR="00A9442A" w:rsidRDefault="00A9442A" w:rsidP="00A9442A">
            <w:pPr>
              <w:spacing w:after="120"/>
              <w:rPr>
                <w:b/>
                <w:color w:val="0070C0"/>
                <w:sz w:val="26"/>
                <w:szCs w:val="26"/>
              </w:rPr>
            </w:pPr>
          </w:p>
        </w:tc>
      </w:tr>
      <w:tr w:rsidR="00F720F5" w14:paraId="3D749154" w14:textId="77777777" w:rsidTr="0013044B">
        <w:tc>
          <w:tcPr>
            <w:tcW w:w="3090" w:type="dxa"/>
          </w:tcPr>
          <w:p w14:paraId="0C7EED1A" w14:textId="6CB84925" w:rsidR="00F720F5" w:rsidRDefault="00F720F5" w:rsidP="00E1002E">
            <w:pPr>
              <w:spacing w:after="120"/>
              <w:rPr>
                <w:b/>
                <w:color w:val="0070C0"/>
                <w:sz w:val="26"/>
                <w:szCs w:val="26"/>
              </w:rPr>
            </w:pPr>
            <w:r>
              <w:rPr>
                <w:b/>
                <w:color w:val="0070C0"/>
                <w:sz w:val="26"/>
                <w:szCs w:val="26"/>
              </w:rPr>
              <w:t>New CPCF Requirements</w:t>
            </w:r>
            <w:r w:rsidR="000D6F0E">
              <w:rPr>
                <w:b/>
                <w:color w:val="0070C0"/>
                <w:sz w:val="26"/>
                <w:szCs w:val="26"/>
              </w:rPr>
              <w:t xml:space="preserve"> from </w:t>
            </w:r>
            <w:r w:rsidR="000D6F0E" w:rsidRPr="000D6F0E">
              <w:rPr>
                <w:b/>
                <w:color w:val="FF0000"/>
                <w:sz w:val="26"/>
                <w:szCs w:val="26"/>
              </w:rPr>
              <w:t>1</w:t>
            </w:r>
            <w:r w:rsidR="000D6F0E" w:rsidRPr="000D6F0E">
              <w:rPr>
                <w:b/>
                <w:color w:val="FF0000"/>
                <w:sz w:val="26"/>
                <w:szCs w:val="26"/>
                <w:vertAlign w:val="superscript"/>
              </w:rPr>
              <w:t>st</w:t>
            </w:r>
            <w:r w:rsidR="000D6F0E" w:rsidRPr="000D6F0E">
              <w:rPr>
                <w:b/>
                <w:color w:val="FF0000"/>
                <w:sz w:val="26"/>
                <w:szCs w:val="26"/>
              </w:rPr>
              <w:t xml:space="preserve"> April 2020</w:t>
            </w:r>
          </w:p>
        </w:tc>
        <w:tc>
          <w:tcPr>
            <w:tcW w:w="6975" w:type="dxa"/>
          </w:tcPr>
          <w:tbl>
            <w:tblPr>
              <w:tblW w:w="0" w:type="auto"/>
              <w:tblBorders>
                <w:top w:val="nil"/>
                <w:left w:val="nil"/>
                <w:bottom w:val="nil"/>
                <w:right w:val="nil"/>
              </w:tblBorders>
              <w:tblLayout w:type="fixed"/>
              <w:tblLook w:val="0000" w:firstRow="0" w:lastRow="0" w:firstColumn="0" w:lastColumn="0" w:noHBand="0" w:noVBand="0"/>
            </w:tblPr>
            <w:tblGrid>
              <w:gridCol w:w="6407"/>
            </w:tblGrid>
            <w:tr w:rsidR="000D6F0E" w:rsidRPr="000D6F0E" w14:paraId="5D26CFD6" w14:textId="77777777" w:rsidTr="000D6F0E">
              <w:trPr>
                <w:trHeight w:val="1352"/>
              </w:trPr>
              <w:tc>
                <w:tcPr>
                  <w:tcW w:w="6407" w:type="dxa"/>
                </w:tcPr>
                <w:p w14:paraId="160C84F3" w14:textId="734C759C" w:rsidR="000D6F0E" w:rsidRDefault="000D6F0E" w:rsidP="000D6F0E">
                  <w:pPr>
                    <w:autoSpaceDE w:val="0"/>
                    <w:autoSpaceDN w:val="0"/>
                    <w:adjustRightInd w:val="0"/>
                    <w:spacing w:after="0" w:line="240" w:lineRule="auto"/>
                    <w:rPr>
                      <w:rFonts w:ascii="Calibri" w:hAnsi="Calibri" w:cs="Calibri"/>
                      <w:color w:val="000000"/>
                      <w:sz w:val="26"/>
                      <w:szCs w:val="26"/>
                    </w:rPr>
                  </w:pPr>
                  <w:r w:rsidRPr="000D6F0E">
                    <w:rPr>
                      <w:rFonts w:ascii="Calibri" w:hAnsi="Calibri" w:cs="Calibri"/>
                      <w:color w:val="000000"/>
                      <w:sz w:val="26"/>
                      <w:szCs w:val="26"/>
                    </w:rPr>
                    <w:t xml:space="preserve">As part of the Terms of Service you will be required to meet the following from April 1st: </w:t>
                  </w:r>
                </w:p>
                <w:p w14:paraId="5748CD1E" w14:textId="77777777" w:rsidR="000D6F0E" w:rsidRPr="00297CEC" w:rsidRDefault="000D6F0E" w:rsidP="000D6F0E">
                  <w:pPr>
                    <w:autoSpaceDE w:val="0"/>
                    <w:autoSpaceDN w:val="0"/>
                    <w:adjustRightInd w:val="0"/>
                    <w:spacing w:after="0" w:line="240" w:lineRule="auto"/>
                    <w:rPr>
                      <w:rFonts w:ascii="Calibri" w:hAnsi="Calibri" w:cs="Calibri"/>
                      <w:color w:val="000000"/>
                      <w:sz w:val="6"/>
                      <w:szCs w:val="6"/>
                    </w:rPr>
                  </w:pPr>
                </w:p>
                <w:p w14:paraId="79550F21" w14:textId="65D9E5A9" w:rsidR="000D6F0E" w:rsidRPr="000D6F0E" w:rsidRDefault="000D6F0E" w:rsidP="000D6F0E">
                  <w:pPr>
                    <w:pStyle w:val="ListParagraph"/>
                    <w:numPr>
                      <w:ilvl w:val="0"/>
                      <w:numId w:val="10"/>
                    </w:numPr>
                    <w:autoSpaceDE w:val="0"/>
                    <w:autoSpaceDN w:val="0"/>
                    <w:adjustRightInd w:val="0"/>
                    <w:spacing w:after="0" w:line="240" w:lineRule="auto"/>
                    <w:rPr>
                      <w:rFonts w:ascii="Calibri" w:hAnsi="Calibri" w:cs="Calibri"/>
                      <w:color w:val="000000"/>
                      <w:sz w:val="26"/>
                      <w:szCs w:val="26"/>
                    </w:rPr>
                  </w:pPr>
                  <w:r w:rsidRPr="000D6F0E">
                    <w:rPr>
                      <w:rFonts w:ascii="Calibri" w:hAnsi="Calibri" w:cs="Calibri"/>
                      <w:color w:val="000000"/>
                      <w:sz w:val="26"/>
                      <w:szCs w:val="26"/>
                    </w:rPr>
                    <w:t xml:space="preserve">Have a premises shared </w:t>
                  </w:r>
                  <w:proofErr w:type="spellStart"/>
                  <w:r w:rsidRPr="000D6F0E">
                    <w:rPr>
                      <w:rFonts w:ascii="Calibri" w:hAnsi="Calibri" w:cs="Calibri"/>
                      <w:color w:val="000000"/>
                      <w:sz w:val="26"/>
                      <w:szCs w:val="26"/>
                    </w:rPr>
                    <w:t>NHSmail</w:t>
                  </w:r>
                  <w:proofErr w:type="spellEnd"/>
                  <w:r w:rsidRPr="000D6F0E">
                    <w:rPr>
                      <w:rFonts w:ascii="Calibri" w:hAnsi="Calibri" w:cs="Calibri"/>
                      <w:color w:val="000000"/>
                      <w:sz w:val="26"/>
                      <w:szCs w:val="26"/>
                    </w:rPr>
                    <w:t xml:space="preserve"> </w:t>
                  </w:r>
                  <w:proofErr w:type="gramStart"/>
                  <w:r w:rsidRPr="000D6F0E">
                    <w:rPr>
                      <w:rFonts w:ascii="Calibri" w:hAnsi="Calibri" w:cs="Calibri"/>
                      <w:color w:val="000000"/>
                      <w:sz w:val="26"/>
                      <w:szCs w:val="26"/>
                    </w:rPr>
                    <w:t>account</w:t>
                  </w:r>
                  <w:proofErr w:type="gramEnd"/>
                  <w:r w:rsidRPr="000D6F0E">
                    <w:rPr>
                      <w:rFonts w:ascii="Calibri" w:hAnsi="Calibri" w:cs="Calibri"/>
                      <w:color w:val="000000"/>
                      <w:sz w:val="26"/>
                      <w:szCs w:val="26"/>
                    </w:rPr>
                    <w:t xml:space="preserve"> </w:t>
                  </w:r>
                </w:p>
                <w:p w14:paraId="4F324F50" w14:textId="634E1AFD" w:rsidR="000D6F0E" w:rsidRPr="000D6F0E" w:rsidRDefault="000D6F0E" w:rsidP="000D6F0E">
                  <w:pPr>
                    <w:pStyle w:val="ListParagraph"/>
                    <w:numPr>
                      <w:ilvl w:val="0"/>
                      <w:numId w:val="10"/>
                    </w:numPr>
                    <w:autoSpaceDE w:val="0"/>
                    <w:autoSpaceDN w:val="0"/>
                    <w:adjustRightInd w:val="0"/>
                    <w:spacing w:after="0" w:line="240" w:lineRule="auto"/>
                    <w:rPr>
                      <w:rFonts w:ascii="Calibri" w:hAnsi="Calibri" w:cs="Calibri"/>
                      <w:color w:val="000000"/>
                      <w:sz w:val="26"/>
                      <w:szCs w:val="26"/>
                    </w:rPr>
                  </w:pPr>
                  <w:r w:rsidRPr="000D6F0E">
                    <w:rPr>
                      <w:rFonts w:ascii="Calibri" w:hAnsi="Calibri" w:cs="Calibri"/>
                      <w:color w:val="000000"/>
                      <w:sz w:val="26"/>
                      <w:szCs w:val="26"/>
                    </w:rPr>
                    <w:t xml:space="preserve">Pharmacy professionals working at the pharmacy have access to the SCR </w:t>
                  </w:r>
                </w:p>
                <w:p w14:paraId="5819804F" w14:textId="0EABE5EE" w:rsidR="000D6F0E" w:rsidRPr="000D6F0E" w:rsidRDefault="000D6F0E" w:rsidP="000D6F0E">
                  <w:pPr>
                    <w:pStyle w:val="ListParagraph"/>
                    <w:numPr>
                      <w:ilvl w:val="0"/>
                      <w:numId w:val="10"/>
                    </w:numPr>
                    <w:autoSpaceDE w:val="0"/>
                    <w:autoSpaceDN w:val="0"/>
                    <w:adjustRightInd w:val="0"/>
                    <w:spacing w:after="0" w:line="240" w:lineRule="auto"/>
                    <w:rPr>
                      <w:rFonts w:ascii="Calibri" w:hAnsi="Calibri" w:cs="Calibri"/>
                      <w:color w:val="000000"/>
                      <w:sz w:val="26"/>
                      <w:szCs w:val="26"/>
                    </w:rPr>
                  </w:pPr>
                  <w:r w:rsidRPr="000D6F0E">
                    <w:rPr>
                      <w:rFonts w:ascii="Calibri" w:hAnsi="Calibri" w:cs="Calibri"/>
                      <w:color w:val="000000"/>
                      <w:sz w:val="26"/>
                      <w:szCs w:val="26"/>
                    </w:rPr>
                    <w:t xml:space="preserve">Update your NHS 111 DoS &amp; your NHS website profile on a quarterly basis and in a timely manner </w:t>
                  </w:r>
                </w:p>
                <w:p w14:paraId="655C4524" w14:textId="75331558" w:rsidR="000D6F0E" w:rsidRPr="000D6F0E" w:rsidRDefault="000D6F0E" w:rsidP="000D6F0E">
                  <w:pPr>
                    <w:pStyle w:val="ListParagraph"/>
                    <w:numPr>
                      <w:ilvl w:val="0"/>
                      <w:numId w:val="10"/>
                    </w:numPr>
                    <w:autoSpaceDE w:val="0"/>
                    <w:autoSpaceDN w:val="0"/>
                    <w:adjustRightInd w:val="0"/>
                    <w:spacing w:after="0" w:line="240" w:lineRule="auto"/>
                    <w:rPr>
                      <w:rFonts w:ascii="Calibri" w:hAnsi="Calibri" w:cs="Calibri"/>
                      <w:color w:val="000000"/>
                      <w:sz w:val="26"/>
                      <w:szCs w:val="26"/>
                    </w:rPr>
                  </w:pPr>
                  <w:r w:rsidRPr="000D6F0E">
                    <w:rPr>
                      <w:rFonts w:ascii="Calibri" w:hAnsi="Calibri" w:cs="Calibri"/>
                      <w:color w:val="000000"/>
                      <w:sz w:val="26"/>
                      <w:szCs w:val="26"/>
                    </w:rPr>
                    <w:lastRenderedPageBreak/>
                    <w:t xml:space="preserve">Have access to the Electronic Prescription Service (EPS) </w:t>
                  </w:r>
                </w:p>
                <w:p w14:paraId="1FD56C3E" w14:textId="3A7EF752" w:rsidR="000D6F0E" w:rsidRPr="000D6F0E" w:rsidRDefault="000D6F0E" w:rsidP="000D6F0E">
                  <w:pPr>
                    <w:pStyle w:val="ListParagraph"/>
                    <w:numPr>
                      <w:ilvl w:val="0"/>
                      <w:numId w:val="10"/>
                    </w:numPr>
                    <w:autoSpaceDE w:val="0"/>
                    <w:autoSpaceDN w:val="0"/>
                    <w:adjustRightInd w:val="0"/>
                    <w:spacing w:after="0" w:line="240" w:lineRule="auto"/>
                    <w:rPr>
                      <w:rFonts w:ascii="Calibri" w:hAnsi="Calibri" w:cs="Calibri"/>
                      <w:color w:val="000000"/>
                      <w:sz w:val="26"/>
                      <w:szCs w:val="26"/>
                    </w:rPr>
                  </w:pPr>
                  <w:r w:rsidRPr="000D6F0E">
                    <w:rPr>
                      <w:rFonts w:ascii="Calibri" w:hAnsi="Calibri" w:cs="Calibri"/>
                      <w:color w:val="000000"/>
                      <w:sz w:val="26"/>
                      <w:szCs w:val="26"/>
                    </w:rPr>
                    <w:t xml:space="preserve">Have achieved Healthy Living Pharmacy Level 1 status </w:t>
                  </w:r>
                </w:p>
                <w:p w14:paraId="5B9E260E" w14:textId="5561612B" w:rsidR="000D6F0E" w:rsidRPr="00297CEC" w:rsidRDefault="000D6F0E" w:rsidP="000D6F0E">
                  <w:pPr>
                    <w:pStyle w:val="ListParagraph"/>
                    <w:numPr>
                      <w:ilvl w:val="0"/>
                      <w:numId w:val="10"/>
                    </w:numPr>
                    <w:autoSpaceDE w:val="0"/>
                    <w:autoSpaceDN w:val="0"/>
                    <w:adjustRightInd w:val="0"/>
                    <w:spacing w:after="0" w:line="240" w:lineRule="auto"/>
                    <w:rPr>
                      <w:rFonts w:ascii="Calibri" w:hAnsi="Calibri" w:cs="Calibri"/>
                      <w:color w:val="000000"/>
                      <w:sz w:val="26"/>
                      <w:szCs w:val="26"/>
                    </w:rPr>
                  </w:pPr>
                  <w:r w:rsidRPr="000D6F0E">
                    <w:rPr>
                      <w:rFonts w:ascii="Calibri" w:hAnsi="Calibri" w:cs="Calibri"/>
                      <w:color w:val="000000"/>
                      <w:sz w:val="26"/>
                      <w:szCs w:val="26"/>
                    </w:rPr>
                    <w:t xml:space="preserve">Pharmacy professionals working at the pharmacy have achieved Level 2 safeguarding </w:t>
                  </w:r>
                  <w:bookmarkStart w:id="0" w:name="_GoBack"/>
                  <w:bookmarkEnd w:id="0"/>
                </w:p>
              </w:tc>
            </w:tr>
          </w:tbl>
          <w:p w14:paraId="7C5ABA16" w14:textId="77777777" w:rsidR="00F720F5" w:rsidRPr="00C2368D" w:rsidRDefault="00F720F5" w:rsidP="00E1002E">
            <w:pPr>
              <w:rPr>
                <w:sz w:val="26"/>
                <w:szCs w:val="26"/>
              </w:rPr>
            </w:pPr>
          </w:p>
        </w:tc>
        <w:tc>
          <w:tcPr>
            <w:tcW w:w="992" w:type="dxa"/>
          </w:tcPr>
          <w:p w14:paraId="3FA1CE4F" w14:textId="77777777" w:rsidR="00F720F5" w:rsidRDefault="00F720F5" w:rsidP="00E1002E">
            <w:pPr>
              <w:spacing w:after="120"/>
              <w:rPr>
                <w:b/>
                <w:color w:val="0070C0"/>
                <w:sz w:val="26"/>
                <w:szCs w:val="26"/>
              </w:rPr>
            </w:pPr>
          </w:p>
        </w:tc>
      </w:tr>
      <w:tr w:rsidR="00E1002E" w14:paraId="230C0825" w14:textId="77777777" w:rsidTr="0013044B">
        <w:tc>
          <w:tcPr>
            <w:tcW w:w="3090" w:type="dxa"/>
          </w:tcPr>
          <w:p w14:paraId="47214E3B" w14:textId="1D77A560" w:rsidR="00E1002E" w:rsidRDefault="009C0281" w:rsidP="00E1002E">
            <w:pPr>
              <w:spacing w:after="120"/>
              <w:rPr>
                <w:b/>
                <w:color w:val="0070C0"/>
                <w:sz w:val="26"/>
                <w:szCs w:val="26"/>
              </w:rPr>
            </w:pPr>
            <w:proofErr w:type="spellStart"/>
            <w:r>
              <w:rPr>
                <w:b/>
                <w:color w:val="0070C0"/>
                <w:sz w:val="26"/>
                <w:szCs w:val="26"/>
              </w:rPr>
              <w:t>VirtualOutcomes</w:t>
            </w:r>
            <w:proofErr w:type="spellEnd"/>
          </w:p>
        </w:tc>
        <w:tc>
          <w:tcPr>
            <w:tcW w:w="6975" w:type="dxa"/>
          </w:tcPr>
          <w:p w14:paraId="63C2FCC8" w14:textId="3C456DC4" w:rsidR="00E1002E" w:rsidRPr="00C2368D" w:rsidRDefault="009C0281" w:rsidP="00E1002E">
            <w:pPr>
              <w:rPr>
                <w:sz w:val="26"/>
                <w:szCs w:val="26"/>
              </w:rPr>
            </w:pPr>
            <w:r w:rsidRPr="00C2368D">
              <w:rPr>
                <w:sz w:val="26"/>
                <w:szCs w:val="26"/>
              </w:rPr>
              <w:t>New modules are released every month and are FREE to Devon pharmacies</w:t>
            </w:r>
            <w:hyperlink r:id="rId20" w:history="1">
              <w:r w:rsidRPr="00C2368D">
                <w:rPr>
                  <w:rStyle w:val="Hyperlink"/>
                  <w:sz w:val="26"/>
                  <w:szCs w:val="26"/>
                </w:rPr>
                <w:t>.  Brief training webinars</w:t>
              </w:r>
            </w:hyperlink>
            <w:r w:rsidRPr="00C2368D">
              <w:rPr>
                <w:sz w:val="26"/>
                <w:szCs w:val="26"/>
              </w:rPr>
              <w:t xml:space="preserve"> </w:t>
            </w:r>
            <w:r w:rsidR="000D6F0E">
              <w:rPr>
                <w:sz w:val="26"/>
                <w:szCs w:val="26"/>
              </w:rPr>
              <w:t xml:space="preserve">are </w:t>
            </w:r>
            <w:r w:rsidR="008D0D65">
              <w:rPr>
                <w:sz w:val="26"/>
                <w:szCs w:val="26"/>
              </w:rPr>
              <w:t xml:space="preserve">available </w:t>
            </w:r>
            <w:r w:rsidRPr="00C2368D">
              <w:rPr>
                <w:sz w:val="26"/>
                <w:szCs w:val="26"/>
              </w:rPr>
              <w:t>for all members of the pharmacy teams.</w:t>
            </w:r>
          </w:p>
        </w:tc>
        <w:tc>
          <w:tcPr>
            <w:tcW w:w="992" w:type="dxa"/>
          </w:tcPr>
          <w:p w14:paraId="4A686C35" w14:textId="77777777" w:rsidR="00E1002E" w:rsidRDefault="00E1002E" w:rsidP="00E1002E">
            <w:pPr>
              <w:spacing w:after="120"/>
              <w:rPr>
                <w:b/>
                <w:color w:val="0070C0"/>
                <w:sz w:val="26"/>
                <w:szCs w:val="26"/>
              </w:rPr>
            </w:pPr>
          </w:p>
        </w:tc>
      </w:tr>
    </w:tbl>
    <w:p w14:paraId="5B755B70" w14:textId="47988870" w:rsidR="00CB1004" w:rsidRPr="00EB5932" w:rsidRDefault="009151F7" w:rsidP="00EB5932">
      <w:pPr>
        <w:spacing w:before="120" w:after="80"/>
        <w:rPr>
          <w:b/>
          <w:i/>
          <w:iCs/>
          <w:color w:val="0070C0"/>
          <w:sz w:val="26"/>
          <w:szCs w:val="26"/>
        </w:rPr>
      </w:pPr>
      <w:r w:rsidRPr="00EB5932">
        <w:rPr>
          <w:b/>
          <w:i/>
          <w:iCs/>
          <w:color w:val="0070C0"/>
          <w:sz w:val="26"/>
          <w:szCs w:val="26"/>
        </w:rPr>
        <w:t>If you require support from the LPC please contact us; either by phone: 01392 8</w:t>
      </w:r>
      <w:r w:rsidR="003B0F64" w:rsidRPr="00EB5932">
        <w:rPr>
          <w:b/>
          <w:i/>
          <w:iCs/>
          <w:color w:val="0070C0"/>
          <w:sz w:val="26"/>
          <w:szCs w:val="26"/>
        </w:rPr>
        <w:t>340</w:t>
      </w:r>
      <w:r w:rsidRPr="00EB5932">
        <w:rPr>
          <w:b/>
          <w:i/>
          <w:iCs/>
          <w:color w:val="0070C0"/>
          <w:sz w:val="26"/>
          <w:szCs w:val="26"/>
        </w:rPr>
        <w:t xml:space="preserve">22 or visit our website </w:t>
      </w:r>
      <w:hyperlink r:id="rId21" w:history="1">
        <w:r w:rsidRPr="00EB5932">
          <w:rPr>
            <w:rStyle w:val="Hyperlink"/>
            <w:b/>
            <w:i/>
            <w:iCs/>
            <w:sz w:val="26"/>
            <w:szCs w:val="26"/>
          </w:rPr>
          <w:t>https:www.devonlpc.org</w:t>
        </w:r>
      </w:hyperlink>
    </w:p>
    <w:sectPr w:rsidR="00CB1004" w:rsidRPr="00EB5932" w:rsidSect="008C4908">
      <w:headerReference w:type="default" r:id="rId22"/>
      <w:footerReference w:type="default" r:id="rId23"/>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14A4" w14:textId="77777777"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Pr>
        <w:noProof/>
        <w:lang w:eastAsia="en-GB"/>
      </w:rPr>
      <w:drawing>
        <wp:inline distT="0" distB="0" distL="0" distR="0" wp14:anchorId="12BF6DCF" wp14:editId="54E446CF">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7664"/>
    <w:rsid w:val="000A143C"/>
    <w:rsid w:val="000A643C"/>
    <w:rsid w:val="000D6F0E"/>
    <w:rsid w:val="00113A7A"/>
    <w:rsid w:val="0013044B"/>
    <w:rsid w:val="0014349E"/>
    <w:rsid w:val="001D061C"/>
    <w:rsid w:val="001E7DC1"/>
    <w:rsid w:val="0021293E"/>
    <w:rsid w:val="00297CEC"/>
    <w:rsid w:val="002B326E"/>
    <w:rsid w:val="002C4CFF"/>
    <w:rsid w:val="002F039E"/>
    <w:rsid w:val="002F66E4"/>
    <w:rsid w:val="00381423"/>
    <w:rsid w:val="003853A1"/>
    <w:rsid w:val="00386031"/>
    <w:rsid w:val="00396AF1"/>
    <w:rsid w:val="003A019C"/>
    <w:rsid w:val="003B0F64"/>
    <w:rsid w:val="003B50EA"/>
    <w:rsid w:val="003E2DD0"/>
    <w:rsid w:val="003F0B21"/>
    <w:rsid w:val="004019C9"/>
    <w:rsid w:val="00404270"/>
    <w:rsid w:val="00415FE4"/>
    <w:rsid w:val="0041659B"/>
    <w:rsid w:val="0044030D"/>
    <w:rsid w:val="00483559"/>
    <w:rsid w:val="004D33A7"/>
    <w:rsid w:val="004E3F4E"/>
    <w:rsid w:val="0052606B"/>
    <w:rsid w:val="00535C9A"/>
    <w:rsid w:val="00543171"/>
    <w:rsid w:val="00593181"/>
    <w:rsid w:val="005C75EF"/>
    <w:rsid w:val="005E7427"/>
    <w:rsid w:val="00604590"/>
    <w:rsid w:val="00653163"/>
    <w:rsid w:val="0066485A"/>
    <w:rsid w:val="006D6AB2"/>
    <w:rsid w:val="006E76CD"/>
    <w:rsid w:val="00715443"/>
    <w:rsid w:val="00731050"/>
    <w:rsid w:val="00793B09"/>
    <w:rsid w:val="007A7F7C"/>
    <w:rsid w:val="007B4D8B"/>
    <w:rsid w:val="007F6344"/>
    <w:rsid w:val="00831507"/>
    <w:rsid w:val="00836C0D"/>
    <w:rsid w:val="008670C4"/>
    <w:rsid w:val="00875977"/>
    <w:rsid w:val="00875B75"/>
    <w:rsid w:val="00881022"/>
    <w:rsid w:val="00885CB1"/>
    <w:rsid w:val="008863E5"/>
    <w:rsid w:val="008C4908"/>
    <w:rsid w:val="008D0D65"/>
    <w:rsid w:val="008D2C05"/>
    <w:rsid w:val="009151F7"/>
    <w:rsid w:val="009248FB"/>
    <w:rsid w:val="009C0281"/>
    <w:rsid w:val="009D7256"/>
    <w:rsid w:val="00A0124A"/>
    <w:rsid w:val="00A31812"/>
    <w:rsid w:val="00A46570"/>
    <w:rsid w:val="00A51A2C"/>
    <w:rsid w:val="00A5791D"/>
    <w:rsid w:val="00A75F3D"/>
    <w:rsid w:val="00A9442A"/>
    <w:rsid w:val="00AB0515"/>
    <w:rsid w:val="00AD7041"/>
    <w:rsid w:val="00B07F6C"/>
    <w:rsid w:val="00B144C7"/>
    <w:rsid w:val="00B70340"/>
    <w:rsid w:val="00BA00E7"/>
    <w:rsid w:val="00BB2416"/>
    <w:rsid w:val="00C02B25"/>
    <w:rsid w:val="00C07BEA"/>
    <w:rsid w:val="00C134CF"/>
    <w:rsid w:val="00C13831"/>
    <w:rsid w:val="00C146F1"/>
    <w:rsid w:val="00C14F8F"/>
    <w:rsid w:val="00C17A19"/>
    <w:rsid w:val="00C2368D"/>
    <w:rsid w:val="00C254D9"/>
    <w:rsid w:val="00C74289"/>
    <w:rsid w:val="00C75919"/>
    <w:rsid w:val="00C94F97"/>
    <w:rsid w:val="00CA2AE8"/>
    <w:rsid w:val="00CB1004"/>
    <w:rsid w:val="00CE4F49"/>
    <w:rsid w:val="00D4592C"/>
    <w:rsid w:val="00D72EFC"/>
    <w:rsid w:val="00D73026"/>
    <w:rsid w:val="00D73BEC"/>
    <w:rsid w:val="00D92701"/>
    <w:rsid w:val="00DB12B5"/>
    <w:rsid w:val="00DB1912"/>
    <w:rsid w:val="00DE0B12"/>
    <w:rsid w:val="00DE11EF"/>
    <w:rsid w:val="00DE2CFB"/>
    <w:rsid w:val="00E03E2C"/>
    <w:rsid w:val="00E1002E"/>
    <w:rsid w:val="00E81964"/>
    <w:rsid w:val="00EA4654"/>
    <w:rsid w:val="00EB32E6"/>
    <w:rsid w:val="00EB5932"/>
    <w:rsid w:val="00EE64AC"/>
    <w:rsid w:val="00EE7C92"/>
    <w:rsid w:val="00EF364C"/>
    <w:rsid w:val="00EF6C91"/>
    <w:rsid w:val="00F36E07"/>
    <w:rsid w:val="00F411D8"/>
    <w:rsid w:val="00F46006"/>
    <w:rsid w:val="00F46F38"/>
    <w:rsid w:val="00F478CB"/>
    <w:rsid w:val="00F7053E"/>
    <w:rsid w:val="00F720F5"/>
    <w:rsid w:val="00F905EA"/>
    <w:rsid w:val="00FB1180"/>
    <w:rsid w:val="00FE25E4"/>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semiHidden/>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semiHidden/>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4337">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coronavirus-standard-operating-procedures-for-primary-care-settings/" TargetMode="External"/><Relationship Id="rId13" Type="http://schemas.openxmlformats.org/officeDocument/2006/relationships/hyperlink" Target="https://psnc.org.uk/contract-it/pharmacy-it/information-governance/data-security-and-protection-toolkit/" TargetMode="External"/><Relationship Id="rId18" Type="http://schemas.openxmlformats.org/officeDocument/2006/relationships/hyperlink" Target="https://devonlpc.org/our-news/free-valuable-cpd-for-pharmacists/" TargetMode="External"/><Relationship Id="rId3" Type="http://schemas.openxmlformats.org/officeDocument/2006/relationships/styles" Target="styles.xml"/><Relationship Id="rId21" Type="http://schemas.openxmlformats.org/officeDocument/2006/relationships/hyperlink" Target="http://www.devonlpc.org" TargetMode="External"/><Relationship Id="rId7" Type="http://schemas.openxmlformats.org/officeDocument/2006/relationships/endnotes" Target="endnotes.xml"/><Relationship Id="rId12" Type="http://schemas.openxmlformats.org/officeDocument/2006/relationships/hyperlink" Target="https://www.dsptoolkit.nhs.uk/?AspxAutoDetectCookieSupport=1" TargetMode="External"/><Relationship Id="rId17" Type="http://schemas.openxmlformats.org/officeDocument/2006/relationships/hyperlink" Target="https://psnc.us7.list-manage.com/track/click?u=86d41ab7fa4c7c2c5d7210782&amp;id=92e983f02b&amp;e=eae8a2e16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rvices.nhsbsa.nhs.uk/nhs-prescription-services-submissions/login" TargetMode="External"/><Relationship Id="rId20" Type="http://schemas.openxmlformats.org/officeDocument/2006/relationships/hyperlink" Target="https://www.virtualoutcomes.co.uk/pharmacy-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contract-it/essential-service-clinical-governance/cpp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nc.org.uk/our-news/cpcs-have-you-it-access-in-your-consultation-room/?utm_source=PSNC+Newsletter&amp;utm_campaign=2de24f1f88-EMAIL_CAMPAIGN_2020_02_03_02_20&amp;utm_medium=email&amp;utm_term=0_b5ca69e1d1-2de24f1f88-48557229" TargetMode="External"/><Relationship Id="rId23" Type="http://schemas.openxmlformats.org/officeDocument/2006/relationships/footer" Target="footer1.xml"/><Relationship Id="rId10" Type="http://schemas.openxmlformats.org/officeDocument/2006/relationships/hyperlink" Target="https://psnc.org.uk/contract-it/essential-service-clinical-governance/emergency-planning/" TargetMode="External"/><Relationship Id="rId19" Type="http://schemas.openxmlformats.org/officeDocument/2006/relationships/hyperlink" Target="https://devonlpc.org/our-news/free-valuable-cpd-for-pharmacists/" TargetMode="External"/><Relationship Id="rId4" Type="http://schemas.openxmlformats.org/officeDocument/2006/relationships/settings" Target="settings.xml"/><Relationship Id="rId9" Type="http://schemas.openxmlformats.org/officeDocument/2006/relationships/hyperlink" Target="https://psnc.org.uk/the-healthcare-landscape/covid19/" TargetMode="External"/><Relationship Id="rId14" Type="http://schemas.openxmlformats.org/officeDocument/2006/relationships/hyperlink" Target="https://psnc.org.uk/our-news/data-security-and-protection-toolkit-workshop-now-on-deman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86D5-FABE-4A2C-B33A-E4C9EA0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1217</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Jones</dc:creator>
  <cp:lastModifiedBy>Kathryn Jones</cp:lastModifiedBy>
  <cp:revision>2</cp:revision>
  <dcterms:created xsi:type="dcterms:W3CDTF">2020-03-13T12:48:00Z</dcterms:created>
  <dcterms:modified xsi:type="dcterms:W3CDTF">2020-03-13T12:48:00Z</dcterms:modified>
</cp:coreProperties>
</file>