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296DF" w14:textId="72ECD270" w:rsidR="001D061C" w:rsidRPr="008D0D65" w:rsidRDefault="001D061C" w:rsidP="00F46F38">
      <w:pPr>
        <w:spacing w:after="80"/>
        <w:jc w:val="center"/>
        <w:rPr>
          <w:b/>
          <w:i/>
          <w:color w:val="0070C0"/>
          <w:sz w:val="30"/>
          <w:szCs w:val="30"/>
        </w:rPr>
      </w:pPr>
      <w:r w:rsidRPr="008D0D65">
        <w:rPr>
          <w:b/>
          <w:i/>
          <w:color w:val="0070C0"/>
          <w:sz w:val="30"/>
          <w:szCs w:val="30"/>
        </w:rPr>
        <w:t>Community Pharmacy Deadline Tracker</w:t>
      </w:r>
      <w:r w:rsidR="00C254D9" w:rsidRPr="008D0D65">
        <w:rPr>
          <w:b/>
          <w:i/>
          <w:color w:val="0070C0"/>
          <w:sz w:val="30"/>
          <w:szCs w:val="30"/>
        </w:rPr>
        <w:t xml:space="preserve"> –</w:t>
      </w:r>
      <w:r w:rsidR="0016628A">
        <w:rPr>
          <w:b/>
          <w:i/>
          <w:color w:val="0070C0"/>
          <w:sz w:val="30"/>
          <w:szCs w:val="30"/>
        </w:rPr>
        <w:t xml:space="preserve"> </w:t>
      </w:r>
      <w:r w:rsidR="004979C6">
        <w:rPr>
          <w:b/>
          <w:i/>
          <w:color w:val="0070C0"/>
          <w:sz w:val="30"/>
          <w:szCs w:val="30"/>
        </w:rPr>
        <w:t xml:space="preserve">March </w:t>
      </w:r>
      <w:r w:rsidR="00B02755">
        <w:rPr>
          <w:b/>
          <w:i/>
          <w:color w:val="0070C0"/>
          <w:sz w:val="30"/>
          <w:szCs w:val="30"/>
        </w:rPr>
        <w:t>2021</w:t>
      </w:r>
    </w:p>
    <w:p w14:paraId="6E52C3F9" w14:textId="2BED10D9" w:rsidR="00CB1004" w:rsidRDefault="00CB1004" w:rsidP="008C4908">
      <w:pPr>
        <w:spacing w:after="80"/>
        <w:jc w:val="center"/>
        <w:rPr>
          <w:b/>
          <w:i/>
          <w:color w:val="FF0000"/>
        </w:rPr>
      </w:pPr>
      <w:r w:rsidRPr="00B144C7">
        <w:rPr>
          <w:b/>
          <w:i/>
          <w:color w:val="FF0000"/>
        </w:rPr>
        <w:t>If you are part of a pharmacy group or multiple, please liaise with your company managers/head office</w:t>
      </w:r>
    </w:p>
    <w:tbl>
      <w:tblPr>
        <w:tblStyle w:val="TableGrid"/>
        <w:tblW w:w="10915" w:type="dxa"/>
        <w:tblInd w:w="-714" w:type="dxa"/>
        <w:tblLayout w:type="fixed"/>
        <w:tblLook w:val="04A0" w:firstRow="1" w:lastRow="0" w:firstColumn="1" w:lastColumn="0" w:noHBand="0" w:noVBand="1"/>
      </w:tblPr>
      <w:tblGrid>
        <w:gridCol w:w="2694"/>
        <w:gridCol w:w="7371"/>
        <w:gridCol w:w="850"/>
      </w:tblGrid>
      <w:tr w:rsidR="00CE4F49" w14:paraId="71182FD4" w14:textId="77777777" w:rsidTr="002A03DA">
        <w:trPr>
          <w:tblHeader/>
        </w:trPr>
        <w:tc>
          <w:tcPr>
            <w:tcW w:w="2694" w:type="dxa"/>
            <w:shd w:val="clear" w:color="auto" w:fill="8DB3E2" w:themeFill="text2" w:themeFillTint="66"/>
          </w:tcPr>
          <w:p w14:paraId="1D1C5155" w14:textId="77777777" w:rsidR="00CB1004" w:rsidRDefault="00CB1004" w:rsidP="005E7427">
            <w:pPr>
              <w:spacing w:before="120" w:after="120"/>
              <w:jc w:val="center"/>
              <w:rPr>
                <w:b/>
                <w:color w:val="0070C0"/>
                <w:sz w:val="26"/>
                <w:szCs w:val="26"/>
              </w:rPr>
            </w:pPr>
            <w:r>
              <w:rPr>
                <w:b/>
                <w:color w:val="0070C0"/>
                <w:sz w:val="26"/>
                <w:szCs w:val="26"/>
              </w:rPr>
              <w:t>Subject</w:t>
            </w:r>
          </w:p>
        </w:tc>
        <w:tc>
          <w:tcPr>
            <w:tcW w:w="7371" w:type="dxa"/>
            <w:shd w:val="clear" w:color="auto" w:fill="8DB3E2" w:themeFill="text2" w:themeFillTint="66"/>
          </w:tcPr>
          <w:p w14:paraId="6268EE23" w14:textId="77777777" w:rsidR="00CB1004" w:rsidRDefault="005E7427" w:rsidP="005E7427">
            <w:pPr>
              <w:spacing w:before="120" w:after="120"/>
              <w:jc w:val="center"/>
              <w:rPr>
                <w:b/>
                <w:color w:val="0070C0"/>
                <w:sz w:val="26"/>
                <w:szCs w:val="26"/>
              </w:rPr>
            </w:pPr>
            <w:r>
              <w:rPr>
                <w:b/>
                <w:color w:val="0070C0"/>
                <w:sz w:val="26"/>
                <w:szCs w:val="26"/>
              </w:rPr>
              <w:t>Actions and links</w:t>
            </w:r>
          </w:p>
        </w:tc>
        <w:tc>
          <w:tcPr>
            <w:tcW w:w="850" w:type="dxa"/>
            <w:shd w:val="clear" w:color="auto" w:fill="8DB3E2" w:themeFill="text2" w:themeFillTint="66"/>
          </w:tcPr>
          <w:p w14:paraId="6E84A0C2" w14:textId="77777777" w:rsidR="00CB1004" w:rsidRDefault="00CE4F49" w:rsidP="005E7427">
            <w:pPr>
              <w:spacing w:after="120"/>
              <w:jc w:val="center"/>
              <w:rPr>
                <w:b/>
                <w:color w:val="0070C0"/>
                <w:sz w:val="26"/>
                <w:szCs w:val="26"/>
              </w:rPr>
            </w:pPr>
            <w:r>
              <w:rPr>
                <w:b/>
                <w:color w:val="0070C0"/>
                <w:sz w:val="26"/>
                <w:szCs w:val="26"/>
              </w:rPr>
              <w:t>Tick when done</w:t>
            </w:r>
          </w:p>
        </w:tc>
      </w:tr>
      <w:tr w:rsidR="00731050" w14:paraId="12BDB5A0" w14:textId="77777777" w:rsidTr="002A03DA">
        <w:tc>
          <w:tcPr>
            <w:tcW w:w="2694" w:type="dxa"/>
          </w:tcPr>
          <w:p w14:paraId="287D1F43" w14:textId="513D651A" w:rsidR="00731050" w:rsidRPr="00731050" w:rsidRDefault="00731050" w:rsidP="00731050">
            <w:pPr>
              <w:autoSpaceDE w:val="0"/>
              <w:autoSpaceDN w:val="0"/>
              <w:adjustRightInd w:val="0"/>
              <w:rPr>
                <w:rFonts w:ascii="Calibri" w:hAnsi="Calibri" w:cs="Calibri"/>
                <w:b/>
                <w:bCs/>
                <w:color w:val="0070C0"/>
                <w:sz w:val="24"/>
                <w:szCs w:val="24"/>
              </w:rPr>
            </w:pPr>
            <w:r w:rsidRPr="00731050">
              <w:rPr>
                <w:rFonts w:ascii="Calibri" w:hAnsi="Calibri" w:cs="Calibri"/>
                <w:b/>
                <w:bCs/>
                <w:color w:val="0070C0"/>
                <w:sz w:val="24"/>
                <w:szCs w:val="24"/>
              </w:rPr>
              <w:t>Coronavirus (COVID-19)</w:t>
            </w:r>
          </w:p>
          <w:tbl>
            <w:tblPr>
              <w:tblW w:w="0" w:type="auto"/>
              <w:tblBorders>
                <w:top w:val="nil"/>
                <w:left w:val="nil"/>
                <w:bottom w:val="nil"/>
                <w:right w:val="nil"/>
              </w:tblBorders>
              <w:tblLayout w:type="fixed"/>
              <w:tblLook w:val="0000" w:firstRow="0" w:lastRow="0" w:firstColumn="0" w:lastColumn="0" w:noHBand="0" w:noVBand="0"/>
            </w:tblPr>
            <w:tblGrid>
              <w:gridCol w:w="999"/>
            </w:tblGrid>
            <w:tr w:rsidR="00731050" w:rsidRPr="00731050" w14:paraId="2362A120" w14:textId="77777777">
              <w:trPr>
                <w:trHeight w:val="222"/>
              </w:trPr>
              <w:tc>
                <w:tcPr>
                  <w:tcW w:w="999" w:type="dxa"/>
                </w:tcPr>
                <w:p w14:paraId="63252754" w14:textId="1C461818" w:rsidR="00731050" w:rsidRPr="00731050" w:rsidRDefault="00731050" w:rsidP="00731050">
                  <w:pPr>
                    <w:autoSpaceDE w:val="0"/>
                    <w:autoSpaceDN w:val="0"/>
                    <w:adjustRightInd w:val="0"/>
                    <w:spacing w:after="0" w:line="240" w:lineRule="auto"/>
                    <w:rPr>
                      <w:rFonts w:cstheme="minorHAnsi"/>
                      <w:b/>
                      <w:bCs/>
                      <w:color w:val="0070C0"/>
                      <w:sz w:val="26"/>
                      <w:szCs w:val="26"/>
                    </w:rPr>
                  </w:pPr>
                </w:p>
              </w:tc>
            </w:tr>
          </w:tbl>
          <w:p w14:paraId="63112763" w14:textId="77777777" w:rsidR="00731050" w:rsidRDefault="00731050" w:rsidP="00A75F3D">
            <w:pPr>
              <w:spacing w:after="120"/>
              <w:rPr>
                <w:b/>
                <w:color w:val="0070C0"/>
                <w:sz w:val="26"/>
                <w:szCs w:val="26"/>
              </w:rPr>
            </w:pPr>
          </w:p>
          <w:p w14:paraId="1E8A7F13" w14:textId="77777777" w:rsidR="00AC785E" w:rsidRDefault="00AC785E" w:rsidP="00A75F3D">
            <w:pPr>
              <w:spacing w:after="120"/>
              <w:rPr>
                <w:b/>
                <w:color w:val="0070C0"/>
                <w:sz w:val="26"/>
                <w:szCs w:val="26"/>
              </w:rPr>
            </w:pPr>
          </w:p>
          <w:p w14:paraId="3D3A492F" w14:textId="77777777" w:rsidR="00AC785E" w:rsidRDefault="00AC785E" w:rsidP="00A75F3D">
            <w:pPr>
              <w:spacing w:after="120"/>
              <w:rPr>
                <w:b/>
                <w:color w:val="0070C0"/>
                <w:sz w:val="26"/>
                <w:szCs w:val="26"/>
              </w:rPr>
            </w:pPr>
          </w:p>
          <w:p w14:paraId="73ED6A14" w14:textId="77777777" w:rsidR="00AC785E" w:rsidRDefault="00AC785E" w:rsidP="00A75F3D">
            <w:pPr>
              <w:spacing w:after="120"/>
              <w:rPr>
                <w:b/>
                <w:color w:val="0070C0"/>
                <w:sz w:val="26"/>
                <w:szCs w:val="26"/>
              </w:rPr>
            </w:pPr>
          </w:p>
          <w:p w14:paraId="2FEED4F3" w14:textId="77777777" w:rsidR="00AC785E" w:rsidRDefault="00AC785E" w:rsidP="00A75F3D">
            <w:pPr>
              <w:spacing w:after="120"/>
              <w:rPr>
                <w:b/>
                <w:color w:val="0070C0"/>
                <w:sz w:val="26"/>
                <w:szCs w:val="26"/>
              </w:rPr>
            </w:pPr>
          </w:p>
          <w:p w14:paraId="6906E762" w14:textId="77777777" w:rsidR="00AC785E" w:rsidRDefault="00AC785E" w:rsidP="00A75F3D">
            <w:pPr>
              <w:spacing w:after="120"/>
              <w:rPr>
                <w:b/>
                <w:color w:val="0070C0"/>
                <w:sz w:val="26"/>
                <w:szCs w:val="26"/>
              </w:rPr>
            </w:pPr>
          </w:p>
          <w:p w14:paraId="7772AAC8" w14:textId="77777777" w:rsidR="00AC785E" w:rsidRDefault="00AC785E" w:rsidP="00A75F3D">
            <w:pPr>
              <w:spacing w:after="120"/>
              <w:rPr>
                <w:b/>
                <w:color w:val="0070C0"/>
                <w:sz w:val="26"/>
                <w:szCs w:val="26"/>
              </w:rPr>
            </w:pPr>
          </w:p>
          <w:p w14:paraId="44C80D09" w14:textId="18A7A817" w:rsidR="00AC785E" w:rsidRDefault="00AC785E" w:rsidP="00A75F3D">
            <w:pPr>
              <w:spacing w:after="120"/>
              <w:rPr>
                <w:b/>
                <w:color w:val="0070C0"/>
                <w:sz w:val="26"/>
                <w:szCs w:val="26"/>
              </w:rPr>
            </w:pPr>
          </w:p>
        </w:tc>
        <w:tc>
          <w:tcPr>
            <w:tcW w:w="7371" w:type="dxa"/>
          </w:tcPr>
          <w:p w14:paraId="1CC6C0D2" w14:textId="1FC120DE" w:rsidR="00715443" w:rsidRDefault="00731050" w:rsidP="00F905EA">
            <w:pPr>
              <w:spacing w:after="80"/>
              <w:rPr>
                <w:sz w:val="26"/>
                <w:szCs w:val="26"/>
              </w:rPr>
            </w:pPr>
            <w:r>
              <w:rPr>
                <w:sz w:val="26"/>
                <w:szCs w:val="26"/>
              </w:rPr>
              <w:t xml:space="preserve">Please keep up to date with information relating to the outbreak of </w:t>
            </w:r>
            <w:r w:rsidR="00D348E1">
              <w:rPr>
                <w:sz w:val="26"/>
                <w:szCs w:val="26"/>
              </w:rPr>
              <w:t>COVID-19</w:t>
            </w:r>
            <w:r>
              <w:rPr>
                <w:sz w:val="26"/>
                <w:szCs w:val="26"/>
              </w:rPr>
              <w:t>, including the current situation in the UK and Europe and information about the virus and its’ s</w:t>
            </w:r>
            <w:r w:rsidR="00715443">
              <w:rPr>
                <w:sz w:val="26"/>
                <w:szCs w:val="26"/>
              </w:rPr>
              <w:t>y</w:t>
            </w:r>
            <w:r>
              <w:rPr>
                <w:sz w:val="26"/>
                <w:szCs w:val="26"/>
              </w:rPr>
              <w:t>mptoms</w:t>
            </w:r>
            <w:r w:rsidR="00715443">
              <w:rPr>
                <w:sz w:val="26"/>
                <w:szCs w:val="26"/>
              </w:rPr>
              <w:t>.</w:t>
            </w:r>
          </w:p>
          <w:p w14:paraId="4F16AEE7" w14:textId="09A20007" w:rsidR="005A6A0D" w:rsidRPr="0060298C" w:rsidRDefault="005A6A0D" w:rsidP="00F905EA">
            <w:pPr>
              <w:spacing w:after="80"/>
              <w:rPr>
                <w:b/>
                <w:bCs/>
                <w:color w:val="FF0000"/>
                <w:sz w:val="26"/>
                <w:szCs w:val="26"/>
              </w:rPr>
            </w:pPr>
            <w:r w:rsidRPr="0060298C">
              <w:rPr>
                <w:b/>
                <w:bCs/>
                <w:color w:val="FF0000"/>
                <w:sz w:val="26"/>
                <w:szCs w:val="26"/>
              </w:rPr>
              <w:t>Look out for the most up to date information guidance via your NHS Shared Mailbox</w:t>
            </w:r>
          </w:p>
          <w:p w14:paraId="21810632" w14:textId="0FDFC1F6" w:rsidR="00731050" w:rsidRPr="00715443" w:rsidRDefault="00731050" w:rsidP="00F905EA">
            <w:pPr>
              <w:spacing w:after="80"/>
              <w:rPr>
                <w:rStyle w:val="Hyperlink"/>
                <w:sz w:val="26"/>
                <w:szCs w:val="26"/>
              </w:rPr>
            </w:pPr>
            <w:r>
              <w:rPr>
                <w:sz w:val="26"/>
                <w:szCs w:val="26"/>
              </w:rPr>
              <w:t>Practic</w:t>
            </w:r>
            <w:r w:rsidR="00715443">
              <w:rPr>
                <w:sz w:val="26"/>
                <w:szCs w:val="26"/>
              </w:rPr>
              <w:t>al</w:t>
            </w:r>
            <w:r>
              <w:rPr>
                <w:sz w:val="26"/>
                <w:szCs w:val="26"/>
              </w:rPr>
              <w:t xml:space="preserve"> guidance to support primary care teams in managing contact with and presentations of patients who suspect they may have </w:t>
            </w:r>
            <w:r w:rsidR="00715443">
              <w:rPr>
                <w:sz w:val="26"/>
                <w:szCs w:val="26"/>
              </w:rPr>
              <w:fldChar w:fldCharType="begin"/>
            </w:r>
            <w:r w:rsidR="00715443">
              <w:rPr>
                <w:sz w:val="26"/>
                <w:szCs w:val="26"/>
              </w:rPr>
              <w:instrText xml:space="preserve"> HYPERLINK "https://www.england.nhs.uk/coronavirus/primary-care/" </w:instrText>
            </w:r>
            <w:r w:rsidR="00715443">
              <w:rPr>
                <w:sz w:val="26"/>
                <w:szCs w:val="26"/>
              </w:rPr>
              <w:fldChar w:fldCharType="separate"/>
            </w:r>
            <w:r w:rsidRPr="00715443">
              <w:rPr>
                <w:rStyle w:val="Hyperlink"/>
                <w:sz w:val="26"/>
                <w:szCs w:val="26"/>
              </w:rPr>
              <w:t>COVID-</w:t>
            </w:r>
            <w:proofErr w:type="gramStart"/>
            <w:r w:rsidRPr="00715443">
              <w:rPr>
                <w:rStyle w:val="Hyperlink"/>
                <w:sz w:val="26"/>
                <w:szCs w:val="26"/>
              </w:rPr>
              <w:t>19</w:t>
            </w:r>
            <w:proofErr w:type="gramEnd"/>
          </w:p>
          <w:p w14:paraId="79C82852" w14:textId="006D4F9A" w:rsidR="00731050" w:rsidRPr="00394AFF" w:rsidRDefault="00715443" w:rsidP="00F905EA">
            <w:pPr>
              <w:spacing w:after="80"/>
              <w:rPr>
                <w:rStyle w:val="Hyperlink"/>
                <w:sz w:val="26"/>
                <w:szCs w:val="26"/>
              </w:rPr>
            </w:pPr>
            <w:r>
              <w:rPr>
                <w:sz w:val="26"/>
                <w:szCs w:val="26"/>
              </w:rPr>
              <w:fldChar w:fldCharType="end"/>
            </w:r>
            <w:r w:rsidR="00731050">
              <w:rPr>
                <w:sz w:val="26"/>
                <w:szCs w:val="26"/>
              </w:rPr>
              <w:t xml:space="preserve">The standard operating procedure for community pharmacy </w:t>
            </w:r>
            <w:r w:rsidR="00197825">
              <w:rPr>
                <w:sz w:val="26"/>
                <w:szCs w:val="26"/>
              </w:rPr>
              <w:t xml:space="preserve">has been updated (26/10) and </w:t>
            </w:r>
            <w:r w:rsidR="00731050">
              <w:rPr>
                <w:sz w:val="26"/>
                <w:szCs w:val="26"/>
              </w:rPr>
              <w:t xml:space="preserve">can be found </w:t>
            </w:r>
            <w:r w:rsidR="00394AFF">
              <w:rPr>
                <w:sz w:val="26"/>
                <w:szCs w:val="26"/>
              </w:rPr>
              <w:fldChar w:fldCharType="begin"/>
            </w:r>
            <w:r w:rsidR="00394AFF">
              <w:rPr>
                <w:sz w:val="26"/>
                <w:szCs w:val="26"/>
              </w:rPr>
              <w:instrText xml:space="preserve"> HYPERLINK "https://www.england.nhs.uk/coronavirus/publication/standard-operating-procedure-community-pharmacy/" </w:instrText>
            </w:r>
            <w:r w:rsidR="00394AFF">
              <w:rPr>
                <w:sz w:val="26"/>
                <w:szCs w:val="26"/>
              </w:rPr>
              <w:fldChar w:fldCharType="separate"/>
            </w:r>
            <w:r w:rsidR="00731050" w:rsidRPr="00394AFF">
              <w:rPr>
                <w:rStyle w:val="Hyperlink"/>
                <w:sz w:val="26"/>
                <w:szCs w:val="26"/>
              </w:rPr>
              <w:t>here</w:t>
            </w:r>
            <w:r w:rsidR="0060298C">
              <w:rPr>
                <w:rStyle w:val="Hyperlink"/>
                <w:sz w:val="26"/>
                <w:szCs w:val="26"/>
              </w:rPr>
              <w:t>.</w:t>
            </w:r>
            <w:r w:rsidR="00197825">
              <w:rPr>
                <w:rStyle w:val="Hyperlink"/>
                <w:sz w:val="26"/>
                <w:szCs w:val="26"/>
              </w:rPr>
              <w:t xml:space="preserve"> </w:t>
            </w:r>
          </w:p>
          <w:p w14:paraId="55D41B93" w14:textId="2FC3DEC9" w:rsidR="00731050" w:rsidRDefault="00394AFF" w:rsidP="00F905EA">
            <w:pPr>
              <w:spacing w:after="80"/>
              <w:rPr>
                <w:sz w:val="26"/>
                <w:szCs w:val="26"/>
              </w:rPr>
            </w:pPr>
            <w:r>
              <w:rPr>
                <w:sz w:val="26"/>
                <w:szCs w:val="26"/>
              </w:rPr>
              <w:fldChar w:fldCharType="end"/>
            </w:r>
            <w:r w:rsidR="00731050">
              <w:rPr>
                <w:sz w:val="26"/>
                <w:szCs w:val="26"/>
              </w:rPr>
              <w:t xml:space="preserve">More information including the </w:t>
            </w:r>
            <w:r>
              <w:rPr>
                <w:sz w:val="26"/>
                <w:szCs w:val="26"/>
              </w:rPr>
              <w:t xml:space="preserve">current </w:t>
            </w:r>
            <w:r w:rsidR="00731050">
              <w:rPr>
                <w:sz w:val="26"/>
                <w:szCs w:val="26"/>
              </w:rPr>
              <w:t xml:space="preserve">posters to display can be found on the PSNC page </w:t>
            </w:r>
            <w:hyperlink r:id="rId8" w:history="1">
              <w:r w:rsidR="00731050" w:rsidRPr="00715443">
                <w:rPr>
                  <w:rStyle w:val="Hyperlink"/>
                  <w:sz w:val="26"/>
                  <w:szCs w:val="26"/>
                </w:rPr>
                <w:t>here</w:t>
              </w:r>
            </w:hyperlink>
            <w:r w:rsidR="0060298C">
              <w:rPr>
                <w:rStyle w:val="Hyperlink"/>
                <w:sz w:val="26"/>
                <w:szCs w:val="26"/>
              </w:rPr>
              <w:t>.</w:t>
            </w:r>
          </w:p>
          <w:p w14:paraId="49A8EB95" w14:textId="1013F60E" w:rsidR="00AC785E" w:rsidRPr="00AC785E" w:rsidRDefault="00731050" w:rsidP="00F905EA">
            <w:pPr>
              <w:spacing w:after="80"/>
              <w:rPr>
                <w:color w:val="0000FF" w:themeColor="hyperlink"/>
                <w:sz w:val="26"/>
                <w:szCs w:val="26"/>
                <w:u w:val="single"/>
              </w:rPr>
            </w:pPr>
            <w:r>
              <w:rPr>
                <w:sz w:val="26"/>
                <w:szCs w:val="26"/>
              </w:rPr>
              <w:t xml:space="preserve">Business Continuity Information for pharmacies can be found </w:t>
            </w:r>
            <w:hyperlink r:id="rId9" w:history="1">
              <w:r w:rsidRPr="00715443">
                <w:rPr>
                  <w:rStyle w:val="Hyperlink"/>
                  <w:sz w:val="26"/>
                  <w:szCs w:val="26"/>
                </w:rPr>
                <w:t>here</w:t>
              </w:r>
            </w:hyperlink>
            <w:r w:rsidR="0060298C">
              <w:rPr>
                <w:rStyle w:val="Hyperlink"/>
                <w:sz w:val="26"/>
                <w:szCs w:val="26"/>
              </w:rPr>
              <w:t>.</w:t>
            </w:r>
          </w:p>
        </w:tc>
        <w:tc>
          <w:tcPr>
            <w:tcW w:w="850" w:type="dxa"/>
          </w:tcPr>
          <w:p w14:paraId="7062A0BF" w14:textId="77777777" w:rsidR="00731050" w:rsidRDefault="00731050" w:rsidP="00CB1004">
            <w:pPr>
              <w:spacing w:after="120"/>
              <w:rPr>
                <w:b/>
                <w:color w:val="0070C0"/>
                <w:sz w:val="26"/>
                <w:szCs w:val="26"/>
              </w:rPr>
            </w:pPr>
          </w:p>
        </w:tc>
      </w:tr>
      <w:tr w:rsidR="004979C6" w14:paraId="79E00C6F" w14:textId="77777777" w:rsidTr="002A03DA">
        <w:tc>
          <w:tcPr>
            <w:tcW w:w="2694" w:type="dxa"/>
          </w:tcPr>
          <w:p w14:paraId="62186D2D" w14:textId="77777777" w:rsidR="004979C6" w:rsidRPr="00860581" w:rsidRDefault="004979C6" w:rsidP="00731050">
            <w:pPr>
              <w:autoSpaceDE w:val="0"/>
              <w:autoSpaceDN w:val="0"/>
              <w:adjustRightInd w:val="0"/>
              <w:rPr>
                <w:rFonts w:ascii="Calibri" w:hAnsi="Calibri" w:cs="Calibri"/>
                <w:b/>
                <w:bCs/>
                <w:color w:val="0070C0"/>
                <w:sz w:val="26"/>
                <w:szCs w:val="26"/>
              </w:rPr>
            </w:pPr>
            <w:r w:rsidRPr="00860581">
              <w:rPr>
                <w:rFonts w:ascii="Calibri" w:hAnsi="Calibri" w:cs="Calibri"/>
                <w:b/>
                <w:bCs/>
                <w:color w:val="0070C0"/>
                <w:sz w:val="26"/>
                <w:szCs w:val="26"/>
              </w:rPr>
              <w:t>Guidance on flu vaccination for 2021/22</w:t>
            </w:r>
          </w:p>
          <w:p w14:paraId="6DB84C80" w14:textId="77777777" w:rsidR="004979C6" w:rsidRPr="00860581" w:rsidRDefault="004979C6" w:rsidP="00731050">
            <w:pPr>
              <w:autoSpaceDE w:val="0"/>
              <w:autoSpaceDN w:val="0"/>
              <w:adjustRightInd w:val="0"/>
              <w:rPr>
                <w:rFonts w:ascii="Calibri" w:hAnsi="Calibri" w:cs="Calibri"/>
                <w:b/>
                <w:bCs/>
                <w:color w:val="0070C0"/>
                <w:sz w:val="26"/>
                <w:szCs w:val="26"/>
              </w:rPr>
            </w:pPr>
          </w:p>
          <w:p w14:paraId="3276AC21" w14:textId="66BD90A2" w:rsidR="004979C6" w:rsidRDefault="004979C6" w:rsidP="00731050">
            <w:pPr>
              <w:autoSpaceDE w:val="0"/>
              <w:autoSpaceDN w:val="0"/>
              <w:adjustRightInd w:val="0"/>
              <w:rPr>
                <w:rFonts w:ascii="Calibri" w:hAnsi="Calibri" w:cs="Calibri"/>
                <w:b/>
                <w:bCs/>
                <w:color w:val="0070C0"/>
                <w:sz w:val="24"/>
                <w:szCs w:val="24"/>
              </w:rPr>
            </w:pPr>
            <w:r w:rsidRPr="00860581">
              <w:rPr>
                <w:rFonts w:ascii="Calibri" w:hAnsi="Calibri" w:cs="Calibri"/>
                <w:b/>
                <w:bCs/>
                <w:color w:val="0070C0"/>
                <w:sz w:val="26"/>
                <w:szCs w:val="26"/>
              </w:rPr>
              <w:t>Act Now</w:t>
            </w:r>
          </w:p>
        </w:tc>
        <w:tc>
          <w:tcPr>
            <w:tcW w:w="7371" w:type="dxa"/>
          </w:tcPr>
          <w:p w14:paraId="00ED83F4" w14:textId="5BD07611" w:rsidR="004979C6" w:rsidRDefault="004979C6" w:rsidP="008537BC">
            <w:pPr>
              <w:spacing w:after="80"/>
              <w:rPr>
                <w:bCs/>
                <w:sz w:val="26"/>
                <w:szCs w:val="26"/>
              </w:rPr>
            </w:pPr>
            <w:r>
              <w:rPr>
                <w:bCs/>
                <w:sz w:val="26"/>
                <w:szCs w:val="26"/>
              </w:rPr>
              <w:t xml:space="preserve">The first national </w:t>
            </w:r>
            <w:hyperlink r:id="rId10" w:history="1">
              <w:r w:rsidRPr="004979C6">
                <w:rPr>
                  <w:rStyle w:val="Hyperlink"/>
                  <w:bCs/>
                  <w:sz w:val="26"/>
                  <w:szCs w:val="26"/>
                </w:rPr>
                <w:t>flu letter</w:t>
              </w:r>
            </w:hyperlink>
            <w:r>
              <w:rPr>
                <w:bCs/>
                <w:sz w:val="26"/>
                <w:szCs w:val="26"/>
              </w:rPr>
              <w:t xml:space="preserve"> for 2021/22 has now been released.</w:t>
            </w:r>
          </w:p>
          <w:p w14:paraId="0DB647C1" w14:textId="37B43B89" w:rsidR="004979C6" w:rsidRDefault="004979C6" w:rsidP="008537BC">
            <w:pPr>
              <w:spacing w:after="80"/>
              <w:rPr>
                <w:bCs/>
                <w:sz w:val="26"/>
                <w:szCs w:val="26"/>
              </w:rPr>
            </w:pPr>
            <w:r>
              <w:rPr>
                <w:bCs/>
                <w:sz w:val="26"/>
                <w:szCs w:val="26"/>
              </w:rPr>
              <w:t>This letter contains important information that we recommend you review now and use to inform your ordering of flu vaccine for the season ahead.</w:t>
            </w:r>
          </w:p>
        </w:tc>
        <w:tc>
          <w:tcPr>
            <w:tcW w:w="850" w:type="dxa"/>
          </w:tcPr>
          <w:p w14:paraId="24EB81D2" w14:textId="77777777" w:rsidR="004979C6" w:rsidRDefault="004979C6" w:rsidP="00CB1004">
            <w:pPr>
              <w:spacing w:after="120"/>
              <w:rPr>
                <w:b/>
                <w:color w:val="0070C0"/>
                <w:sz w:val="26"/>
                <w:szCs w:val="26"/>
              </w:rPr>
            </w:pPr>
          </w:p>
        </w:tc>
      </w:tr>
      <w:tr w:rsidR="008537BC" w14:paraId="501814CC" w14:textId="77777777" w:rsidTr="002A03DA">
        <w:tc>
          <w:tcPr>
            <w:tcW w:w="2694" w:type="dxa"/>
          </w:tcPr>
          <w:p w14:paraId="389D2A92" w14:textId="4E295896" w:rsidR="008537BC" w:rsidRDefault="008537BC" w:rsidP="00731050">
            <w:pPr>
              <w:autoSpaceDE w:val="0"/>
              <w:autoSpaceDN w:val="0"/>
              <w:adjustRightInd w:val="0"/>
              <w:rPr>
                <w:rFonts w:ascii="Calibri" w:hAnsi="Calibri" w:cs="Calibri"/>
                <w:b/>
                <w:bCs/>
                <w:color w:val="0070C0"/>
                <w:sz w:val="24"/>
                <w:szCs w:val="24"/>
              </w:rPr>
            </w:pPr>
            <w:r>
              <w:rPr>
                <w:rFonts w:ascii="Calibri" w:hAnsi="Calibri" w:cs="Calibri"/>
                <w:b/>
                <w:bCs/>
                <w:color w:val="0070C0"/>
                <w:sz w:val="24"/>
                <w:szCs w:val="24"/>
              </w:rPr>
              <w:t>PPE</w:t>
            </w:r>
          </w:p>
        </w:tc>
        <w:tc>
          <w:tcPr>
            <w:tcW w:w="7371" w:type="dxa"/>
          </w:tcPr>
          <w:p w14:paraId="24C0BC07" w14:textId="77777777" w:rsidR="008537BC" w:rsidRDefault="008537BC" w:rsidP="008537BC">
            <w:pPr>
              <w:spacing w:after="80"/>
              <w:rPr>
                <w:rStyle w:val="Hyperlink"/>
                <w:bCs/>
                <w:sz w:val="26"/>
                <w:szCs w:val="26"/>
              </w:rPr>
            </w:pPr>
            <w:r>
              <w:rPr>
                <w:bCs/>
                <w:sz w:val="26"/>
                <w:szCs w:val="26"/>
              </w:rPr>
              <w:t xml:space="preserve">See the updated PHE guidance on the use of facemasks by pharmacy staff </w:t>
            </w:r>
            <w:hyperlink r:id="rId11" w:history="1">
              <w:r w:rsidRPr="00AC785E">
                <w:rPr>
                  <w:rStyle w:val="Hyperlink"/>
                  <w:bCs/>
                  <w:sz w:val="26"/>
                  <w:szCs w:val="26"/>
                </w:rPr>
                <w:t>here</w:t>
              </w:r>
            </w:hyperlink>
            <w:r>
              <w:rPr>
                <w:rStyle w:val="Hyperlink"/>
                <w:bCs/>
                <w:sz w:val="26"/>
                <w:szCs w:val="26"/>
              </w:rPr>
              <w:t>.</w:t>
            </w:r>
          </w:p>
          <w:p w14:paraId="0076F9F6" w14:textId="09519505" w:rsidR="008537BC" w:rsidRPr="0060298C" w:rsidRDefault="008537BC" w:rsidP="003F26BD">
            <w:pPr>
              <w:spacing w:before="240"/>
              <w:jc w:val="both"/>
              <w:rPr>
                <w:b/>
                <w:sz w:val="26"/>
                <w:szCs w:val="26"/>
              </w:rPr>
            </w:pPr>
            <w:r w:rsidRPr="0060298C">
              <w:rPr>
                <w:rStyle w:val="Hyperlink"/>
                <w:b/>
                <w:color w:val="FF0000"/>
                <w:sz w:val="26"/>
                <w:szCs w:val="26"/>
                <w:u w:val="none"/>
              </w:rPr>
              <w:t xml:space="preserve">IMPORTANT: Sign up to the </w:t>
            </w:r>
            <w:hyperlink r:id="rId12" w:history="1">
              <w:r w:rsidRPr="0060298C">
                <w:rPr>
                  <w:rStyle w:val="Hyperlink"/>
                  <w:b/>
                  <w:sz w:val="26"/>
                  <w:szCs w:val="26"/>
                  <w:u w:val="none"/>
                </w:rPr>
                <w:t>PPE Portal</w:t>
              </w:r>
            </w:hyperlink>
            <w:r w:rsidRPr="0060298C">
              <w:rPr>
                <w:rStyle w:val="Hyperlink"/>
                <w:b/>
                <w:color w:val="FF0000"/>
                <w:sz w:val="26"/>
                <w:szCs w:val="26"/>
                <w:u w:val="none"/>
              </w:rPr>
              <w:t xml:space="preserve"> to ensure you have access to </w:t>
            </w:r>
            <w:r w:rsidR="003F26BD">
              <w:rPr>
                <w:rStyle w:val="Hyperlink"/>
                <w:b/>
                <w:color w:val="FF0000"/>
                <w:sz w:val="26"/>
                <w:szCs w:val="26"/>
                <w:u w:val="none"/>
              </w:rPr>
              <w:t xml:space="preserve">free </w:t>
            </w:r>
            <w:r w:rsidRPr="0060298C">
              <w:rPr>
                <w:rStyle w:val="Hyperlink"/>
                <w:b/>
                <w:color w:val="FF0000"/>
                <w:sz w:val="26"/>
                <w:szCs w:val="26"/>
                <w:u w:val="none"/>
              </w:rPr>
              <w:t xml:space="preserve">stocks and read the latest </w:t>
            </w:r>
            <w:hyperlink r:id="rId13" w:history="1">
              <w:r w:rsidRPr="0060298C">
                <w:rPr>
                  <w:rStyle w:val="Hyperlink"/>
                  <w:b/>
                  <w:sz w:val="26"/>
                  <w:szCs w:val="26"/>
                  <w:u w:val="none"/>
                </w:rPr>
                <w:t>statement</w:t>
              </w:r>
            </w:hyperlink>
            <w:r w:rsidRPr="0060298C">
              <w:rPr>
                <w:rStyle w:val="Hyperlink"/>
                <w:b/>
                <w:color w:val="FF0000"/>
                <w:sz w:val="26"/>
                <w:szCs w:val="26"/>
                <w:u w:val="none"/>
              </w:rPr>
              <w:t xml:space="preserve"> from the NHSBSA here.</w:t>
            </w:r>
          </w:p>
        </w:tc>
        <w:tc>
          <w:tcPr>
            <w:tcW w:w="850" w:type="dxa"/>
          </w:tcPr>
          <w:p w14:paraId="6F5FFA74" w14:textId="77777777" w:rsidR="008537BC" w:rsidRDefault="008537BC" w:rsidP="00CB1004">
            <w:pPr>
              <w:spacing w:after="120"/>
              <w:rPr>
                <w:b/>
                <w:color w:val="0070C0"/>
                <w:sz w:val="26"/>
                <w:szCs w:val="26"/>
              </w:rPr>
            </w:pPr>
          </w:p>
        </w:tc>
      </w:tr>
      <w:tr w:rsidR="00B02755" w14:paraId="6AAEB634" w14:textId="77777777" w:rsidTr="002A03DA">
        <w:tc>
          <w:tcPr>
            <w:tcW w:w="2694" w:type="dxa"/>
          </w:tcPr>
          <w:p w14:paraId="6808B3DB" w14:textId="6AA7B0AB" w:rsidR="00B02755" w:rsidRPr="00860581" w:rsidRDefault="00B02755" w:rsidP="00731050">
            <w:pPr>
              <w:autoSpaceDE w:val="0"/>
              <w:autoSpaceDN w:val="0"/>
              <w:adjustRightInd w:val="0"/>
              <w:rPr>
                <w:rFonts w:ascii="Calibri" w:hAnsi="Calibri" w:cs="Calibri"/>
                <w:b/>
                <w:bCs/>
                <w:color w:val="0070C0"/>
                <w:sz w:val="26"/>
                <w:szCs w:val="26"/>
              </w:rPr>
            </w:pPr>
            <w:r w:rsidRPr="00860581">
              <w:rPr>
                <w:rFonts w:ascii="Calibri" w:hAnsi="Calibri" w:cs="Calibri"/>
                <w:b/>
                <w:bCs/>
                <w:color w:val="0070C0"/>
                <w:sz w:val="26"/>
                <w:szCs w:val="26"/>
              </w:rPr>
              <w:t>Changes to CFCF</w:t>
            </w:r>
          </w:p>
        </w:tc>
        <w:tc>
          <w:tcPr>
            <w:tcW w:w="7371" w:type="dxa"/>
          </w:tcPr>
          <w:p w14:paraId="30E8C61B" w14:textId="1736DEBE" w:rsidR="00B02755" w:rsidRDefault="00B02755" w:rsidP="00F905EA">
            <w:pPr>
              <w:spacing w:after="80"/>
              <w:rPr>
                <w:sz w:val="26"/>
                <w:szCs w:val="26"/>
              </w:rPr>
            </w:pPr>
            <w:r>
              <w:rPr>
                <w:sz w:val="26"/>
                <w:szCs w:val="26"/>
              </w:rPr>
              <w:t xml:space="preserve">PSNC has </w:t>
            </w:r>
            <w:r w:rsidR="00085C5F">
              <w:rPr>
                <w:sz w:val="26"/>
                <w:szCs w:val="26"/>
              </w:rPr>
              <w:t>negotiated</w:t>
            </w:r>
            <w:r>
              <w:rPr>
                <w:sz w:val="26"/>
                <w:szCs w:val="26"/>
              </w:rPr>
              <w:t xml:space="preserve"> </w:t>
            </w:r>
            <w:r w:rsidR="004D0793">
              <w:rPr>
                <w:sz w:val="26"/>
                <w:szCs w:val="26"/>
              </w:rPr>
              <w:t>several</w:t>
            </w:r>
            <w:r>
              <w:rPr>
                <w:sz w:val="26"/>
                <w:szCs w:val="26"/>
              </w:rPr>
              <w:t xml:space="preserve"> changes to the Community Pharmacy </w:t>
            </w:r>
            <w:r w:rsidR="00085C5F">
              <w:rPr>
                <w:sz w:val="26"/>
                <w:szCs w:val="26"/>
              </w:rPr>
              <w:t>C</w:t>
            </w:r>
            <w:r>
              <w:rPr>
                <w:sz w:val="26"/>
                <w:szCs w:val="26"/>
              </w:rPr>
              <w:t>ontractual Framework</w:t>
            </w:r>
            <w:r w:rsidR="00085C5F">
              <w:rPr>
                <w:sz w:val="26"/>
                <w:szCs w:val="26"/>
              </w:rPr>
              <w:t xml:space="preserve"> to create extra capacity. </w:t>
            </w:r>
            <w:r>
              <w:rPr>
                <w:sz w:val="26"/>
                <w:szCs w:val="26"/>
              </w:rPr>
              <w:t xml:space="preserve">  See the </w:t>
            </w:r>
            <w:hyperlink r:id="rId14" w:history="1">
              <w:r w:rsidRPr="00B02755">
                <w:rPr>
                  <w:rStyle w:val="Hyperlink"/>
                  <w:sz w:val="26"/>
                  <w:szCs w:val="26"/>
                </w:rPr>
                <w:t>PSNC website</w:t>
              </w:r>
            </w:hyperlink>
            <w:r>
              <w:rPr>
                <w:sz w:val="26"/>
                <w:szCs w:val="26"/>
              </w:rPr>
              <w:t xml:space="preserve"> for further details. </w:t>
            </w:r>
          </w:p>
        </w:tc>
        <w:tc>
          <w:tcPr>
            <w:tcW w:w="850" w:type="dxa"/>
          </w:tcPr>
          <w:p w14:paraId="6D04C2B6" w14:textId="77777777" w:rsidR="00B02755" w:rsidRDefault="00B02755" w:rsidP="00CB1004">
            <w:pPr>
              <w:spacing w:after="120"/>
              <w:rPr>
                <w:b/>
                <w:color w:val="0070C0"/>
                <w:sz w:val="26"/>
                <w:szCs w:val="26"/>
              </w:rPr>
            </w:pPr>
          </w:p>
        </w:tc>
      </w:tr>
      <w:tr w:rsidR="002E431C" w14:paraId="6844FB88" w14:textId="77777777" w:rsidTr="002A03DA">
        <w:tc>
          <w:tcPr>
            <w:tcW w:w="2694" w:type="dxa"/>
          </w:tcPr>
          <w:p w14:paraId="7B89C741" w14:textId="502A936C" w:rsidR="002E431C" w:rsidRDefault="002E431C" w:rsidP="002E431C">
            <w:pPr>
              <w:spacing w:after="120"/>
              <w:rPr>
                <w:b/>
                <w:color w:val="0070C0"/>
                <w:sz w:val="26"/>
                <w:szCs w:val="26"/>
              </w:rPr>
            </w:pPr>
            <w:r>
              <w:rPr>
                <w:b/>
                <w:color w:val="0070C0"/>
                <w:sz w:val="26"/>
                <w:szCs w:val="26"/>
              </w:rPr>
              <w:t>Healthy Living Pharmacy</w:t>
            </w:r>
          </w:p>
          <w:p w14:paraId="3F3B73B1" w14:textId="629C88E7" w:rsidR="002E431C" w:rsidRPr="00D348E1" w:rsidRDefault="00F439E3" w:rsidP="00860581">
            <w:pPr>
              <w:spacing w:after="120"/>
              <w:rPr>
                <w:b/>
                <w:color w:val="0070C0"/>
                <w:sz w:val="26"/>
                <w:szCs w:val="26"/>
              </w:rPr>
            </w:pPr>
            <w:r w:rsidRPr="00F439E3">
              <w:rPr>
                <w:b/>
                <w:color w:val="FF0000"/>
                <w:sz w:val="26"/>
                <w:szCs w:val="26"/>
              </w:rPr>
              <w:t>1</w:t>
            </w:r>
            <w:r w:rsidRPr="00F439E3">
              <w:rPr>
                <w:b/>
                <w:color w:val="FF0000"/>
                <w:sz w:val="26"/>
                <w:szCs w:val="26"/>
                <w:vertAlign w:val="superscript"/>
              </w:rPr>
              <w:t>st</w:t>
            </w:r>
            <w:r w:rsidRPr="00F439E3">
              <w:rPr>
                <w:b/>
                <w:color w:val="FF0000"/>
                <w:sz w:val="26"/>
                <w:szCs w:val="26"/>
              </w:rPr>
              <w:t xml:space="preserve"> January 2021</w:t>
            </w:r>
          </w:p>
        </w:tc>
        <w:tc>
          <w:tcPr>
            <w:tcW w:w="7371" w:type="dxa"/>
          </w:tcPr>
          <w:p w14:paraId="66D22E68" w14:textId="6A8AF38C" w:rsidR="005A6A0D" w:rsidRPr="00D348E1" w:rsidRDefault="00C1108D" w:rsidP="002E431C">
            <w:pPr>
              <w:spacing w:after="80"/>
              <w:rPr>
                <w:bCs/>
                <w:sz w:val="26"/>
                <w:szCs w:val="26"/>
              </w:rPr>
            </w:pPr>
            <w:r>
              <w:rPr>
                <w:bCs/>
                <w:sz w:val="26"/>
                <w:szCs w:val="26"/>
              </w:rPr>
              <w:t>T</w:t>
            </w:r>
            <w:r w:rsidR="005A6A0D">
              <w:rPr>
                <w:bCs/>
                <w:sz w:val="26"/>
                <w:szCs w:val="26"/>
              </w:rPr>
              <w:t xml:space="preserve">he Distance Selling Pharmacy (DSP) website requirements </w:t>
            </w:r>
            <w:r>
              <w:rPr>
                <w:bCs/>
                <w:sz w:val="26"/>
                <w:szCs w:val="26"/>
              </w:rPr>
              <w:t xml:space="preserve">must be </w:t>
            </w:r>
            <w:r w:rsidR="005A6A0D">
              <w:rPr>
                <w:bCs/>
                <w:sz w:val="26"/>
                <w:szCs w:val="26"/>
              </w:rPr>
              <w:t>complied with</w:t>
            </w:r>
            <w:r>
              <w:rPr>
                <w:bCs/>
                <w:sz w:val="26"/>
                <w:szCs w:val="26"/>
              </w:rPr>
              <w:t xml:space="preserve"> by the </w:t>
            </w:r>
            <w:r w:rsidR="00B52E85">
              <w:rPr>
                <w:bCs/>
                <w:sz w:val="26"/>
                <w:szCs w:val="26"/>
              </w:rPr>
              <w:t>1</w:t>
            </w:r>
            <w:r w:rsidR="00B52E85" w:rsidRPr="005A6A0D">
              <w:rPr>
                <w:bCs/>
                <w:sz w:val="26"/>
                <w:szCs w:val="26"/>
                <w:vertAlign w:val="superscript"/>
              </w:rPr>
              <w:t>st of</w:t>
            </w:r>
            <w:r w:rsidR="005A6A0D">
              <w:rPr>
                <w:bCs/>
                <w:sz w:val="26"/>
                <w:szCs w:val="26"/>
              </w:rPr>
              <w:t xml:space="preserve"> April 2021.</w:t>
            </w:r>
          </w:p>
        </w:tc>
        <w:tc>
          <w:tcPr>
            <w:tcW w:w="850" w:type="dxa"/>
          </w:tcPr>
          <w:p w14:paraId="284B3535" w14:textId="77777777" w:rsidR="002E431C" w:rsidRDefault="002E431C" w:rsidP="002E431C">
            <w:pPr>
              <w:spacing w:after="120"/>
              <w:rPr>
                <w:b/>
                <w:color w:val="0070C0"/>
                <w:sz w:val="26"/>
                <w:szCs w:val="26"/>
              </w:rPr>
            </w:pPr>
          </w:p>
        </w:tc>
      </w:tr>
      <w:tr w:rsidR="00860581" w14:paraId="160777D4" w14:textId="77777777" w:rsidTr="002A03DA">
        <w:tc>
          <w:tcPr>
            <w:tcW w:w="2694" w:type="dxa"/>
          </w:tcPr>
          <w:p w14:paraId="2691D216" w14:textId="77777777" w:rsidR="00860581" w:rsidRDefault="00860581" w:rsidP="002E431C">
            <w:pPr>
              <w:spacing w:after="120"/>
              <w:rPr>
                <w:b/>
                <w:color w:val="0070C0"/>
                <w:sz w:val="26"/>
                <w:szCs w:val="26"/>
              </w:rPr>
            </w:pPr>
            <w:r>
              <w:rPr>
                <w:b/>
                <w:color w:val="0070C0"/>
                <w:sz w:val="26"/>
                <w:szCs w:val="26"/>
              </w:rPr>
              <w:t>Medicines Use Review (MURs)</w:t>
            </w:r>
          </w:p>
          <w:p w14:paraId="0489B452" w14:textId="373D4D26" w:rsidR="00860581" w:rsidRDefault="00860581" w:rsidP="002E431C">
            <w:pPr>
              <w:spacing w:after="120"/>
              <w:rPr>
                <w:b/>
                <w:color w:val="0070C0"/>
                <w:sz w:val="26"/>
                <w:szCs w:val="26"/>
              </w:rPr>
            </w:pPr>
            <w:r w:rsidRPr="00860581">
              <w:rPr>
                <w:b/>
                <w:color w:val="FF0000"/>
                <w:sz w:val="26"/>
                <w:szCs w:val="26"/>
              </w:rPr>
              <w:t>31</w:t>
            </w:r>
            <w:r w:rsidRPr="00860581">
              <w:rPr>
                <w:b/>
                <w:color w:val="FF0000"/>
                <w:sz w:val="26"/>
                <w:szCs w:val="26"/>
                <w:vertAlign w:val="superscript"/>
              </w:rPr>
              <w:t>st</w:t>
            </w:r>
            <w:r w:rsidRPr="00860581">
              <w:rPr>
                <w:b/>
                <w:color w:val="FF0000"/>
                <w:sz w:val="26"/>
                <w:szCs w:val="26"/>
              </w:rPr>
              <w:t xml:space="preserve"> March 2021</w:t>
            </w:r>
          </w:p>
        </w:tc>
        <w:tc>
          <w:tcPr>
            <w:tcW w:w="7371" w:type="dxa"/>
          </w:tcPr>
          <w:p w14:paraId="31D7597A" w14:textId="48D64196" w:rsidR="00860581" w:rsidRPr="00E75702" w:rsidRDefault="00860581" w:rsidP="002E431C">
            <w:pPr>
              <w:spacing w:after="80"/>
              <w:rPr>
                <w:b/>
                <w:color w:val="FF0000"/>
                <w:sz w:val="26"/>
                <w:szCs w:val="26"/>
              </w:rPr>
            </w:pPr>
            <w:r w:rsidRPr="00B52E85">
              <w:rPr>
                <w:bCs/>
                <w:sz w:val="26"/>
                <w:szCs w:val="26"/>
              </w:rPr>
              <w:t>Are you on track to complete your 100 MURs by the end of March 2021?  Find out more about the phasing out of MURs</w:t>
            </w:r>
            <w:r w:rsidRPr="00B52E85">
              <w:rPr>
                <w:b/>
                <w:sz w:val="26"/>
                <w:szCs w:val="26"/>
              </w:rPr>
              <w:t xml:space="preserve"> </w:t>
            </w:r>
            <w:hyperlink r:id="rId15" w:history="1">
              <w:r w:rsidRPr="00B52E85">
                <w:rPr>
                  <w:rStyle w:val="Hyperlink"/>
                  <w:b/>
                  <w:sz w:val="26"/>
                  <w:szCs w:val="26"/>
                </w:rPr>
                <w:t>here.</w:t>
              </w:r>
            </w:hyperlink>
          </w:p>
        </w:tc>
        <w:tc>
          <w:tcPr>
            <w:tcW w:w="850" w:type="dxa"/>
          </w:tcPr>
          <w:p w14:paraId="2D905B33" w14:textId="77777777" w:rsidR="00860581" w:rsidRPr="000D6F0E" w:rsidRDefault="00860581" w:rsidP="002E431C">
            <w:pPr>
              <w:spacing w:after="120"/>
              <w:rPr>
                <w:b/>
                <w:color w:val="0070C0"/>
                <w:sz w:val="26"/>
                <w:szCs w:val="26"/>
              </w:rPr>
            </w:pPr>
          </w:p>
        </w:tc>
      </w:tr>
      <w:tr w:rsidR="002E431C" w14:paraId="4B610AE7" w14:textId="77777777" w:rsidTr="002A03DA">
        <w:tc>
          <w:tcPr>
            <w:tcW w:w="2694" w:type="dxa"/>
          </w:tcPr>
          <w:p w14:paraId="022FF4E9" w14:textId="77777777" w:rsidR="002E431C" w:rsidRDefault="002E431C" w:rsidP="002E431C">
            <w:pPr>
              <w:spacing w:after="120"/>
              <w:rPr>
                <w:b/>
                <w:color w:val="0070C0"/>
                <w:sz w:val="26"/>
                <w:szCs w:val="26"/>
              </w:rPr>
            </w:pPr>
            <w:r>
              <w:rPr>
                <w:b/>
                <w:color w:val="0070C0"/>
                <w:sz w:val="26"/>
                <w:szCs w:val="26"/>
              </w:rPr>
              <w:lastRenderedPageBreak/>
              <w:t>PQS 20-21</w:t>
            </w:r>
          </w:p>
          <w:p w14:paraId="69672FFD" w14:textId="7B8E1762" w:rsidR="002E431C" w:rsidRDefault="002E431C" w:rsidP="002E431C">
            <w:pPr>
              <w:spacing w:after="120"/>
              <w:rPr>
                <w:b/>
                <w:color w:val="0070C0"/>
                <w:sz w:val="26"/>
                <w:szCs w:val="26"/>
              </w:rPr>
            </w:pPr>
            <w:r>
              <w:rPr>
                <w:b/>
                <w:color w:val="0070C0"/>
                <w:sz w:val="26"/>
                <w:szCs w:val="26"/>
              </w:rPr>
              <w:t>Part 2</w:t>
            </w:r>
          </w:p>
          <w:p w14:paraId="1523F740" w14:textId="4E67E3EB" w:rsidR="00085C5F" w:rsidRDefault="00085C5F" w:rsidP="002E431C">
            <w:pPr>
              <w:spacing w:after="120"/>
              <w:rPr>
                <w:b/>
                <w:color w:val="0070C0"/>
                <w:sz w:val="26"/>
                <w:szCs w:val="26"/>
              </w:rPr>
            </w:pPr>
            <w:r>
              <w:rPr>
                <w:b/>
                <w:color w:val="0070C0"/>
                <w:sz w:val="26"/>
                <w:szCs w:val="26"/>
              </w:rPr>
              <w:t>Declare between 09:00 on 1</w:t>
            </w:r>
            <w:r w:rsidRPr="00085C5F">
              <w:rPr>
                <w:b/>
                <w:color w:val="0070C0"/>
                <w:sz w:val="26"/>
                <w:szCs w:val="26"/>
                <w:vertAlign w:val="superscript"/>
              </w:rPr>
              <w:t>st</w:t>
            </w:r>
            <w:r>
              <w:rPr>
                <w:b/>
                <w:color w:val="0070C0"/>
                <w:sz w:val="26"/>
                <w:szCs w:val="26"/>
              </w:rPr>
              <w:t xml:space="preserve"> February 2021 and 23:59 on </w:t>
            </w:r>
            <w:r w:rsidR="004979C6">
              <w:rPr>
                <w:b/>
                <w:color w:val="0070C0"/>
                <w:sz w:val="26"/>
                <w:szCs w:val="26"/>
              </w:rPr>
              <w:t>1</w:t>
            </w:r>
            <w:r w:rsidR="004979C6" w:rsidRPr="004979C6">
              <w:rPr>
                <w:b/>
                <w:color w:val="0070C0"/>
                <w:sz w:val="26"/>
                <w:szCs w:val="26"/>
                <w:vertAlign w:val="superscript"/>
              </w:rPr>
              <w:t>st</w:t>
            </w:r>
            <w:r w:rsidR="004979C6">
              <w:rPr>
                <w:b/>
                <w:color w:val="0070C0"/>
                <w:sz w:val="26"/>
                <w:szCs w:val="26"/>
              </w:rPr>
              <w:t xml:space="preserve"> March 2021.</w:t>
            </w:r>
          </w:p>
          <w:p w14:paraId="7F64F1C1" w14:textId="5E9B66BB" w:rsidR="00085C5F" w:rsidRDefault="00085C5F" w:rsidP="002E431C">
            <w:pPr>
              <w:spacing w:after="120"/>
              <w:rPr>
                <w:b/>
                <w:color w:val="0070C0"/>
                <w:sz w:val="26"/>
                <w:szCs w:val="26"/>
              </w:rPr>
            </w:pPr>
          </w:p>
          <w:p w14:paraId="76C2249F" w14:textId="527E7CD0" w:rsidR="002E431C" w:rsidRDefault="00085C5F" w:rsidP="00C1108D">
            <w:pPr>
              <w:spacing w:after="120"/>
              <w:rPr>
                <w:b/>
                <w:color w:val="0070C0"/>
                <w:sz w:val="26"/>
                <w:szCs w:val="26"/>
              </w:rPr>
            </w:pPr>
            <w:r>
              <w:rPr>
                <w:b/>
                <w:color w:val="0070C0"/>
                <w:sz w:val="26"/>
                <w:szCs w:val="26"/>
              </w:rPr>
              <w:t>Contractors have until 30</w:t>
            </w:r>
            <w:r w:rsidRPr="00085C5F">
              <w:rPr>
                <w:b/>
                <w:color w:val="0070C0"/>
                <w:sz w:val="26"/>
                <w:szCs w:val="26"/>
                <w:vertAlign w:val="superscript"/>
              </w:rPr>
              <w:t>th</w:t>
            </w:r>
            <w:r>
              <w:rPr>
                <w:b/>
                <w:color w:val="0070C0"/>
                <w:sz w:val="26"/>
                <w:szCs w:val="26"/>
              </w:rPr>
              <w:t xml:space="preserve"> June to complete all the PQS requirements</w:t>
            </w:r>
          </w:p>
        </w:tc>
        <w:tc>
          <w:tcPr>
            <w:tcW w:w="7371" w:type="dxa"/>
          </w:tcPr>
          <w:p w14:paraId="5999A6CF" w14:textId="77777777" w:rsidR="00E75702" w:rsidRPr="00E75702" w:rsidRDefault="00E75702" w:rsidP="002E431C">
            <w:pPr>
              <w:spacing w:after="80"/>
              <w:rPr>
                <w:b/>
                <w:color w:val="FF0000"/>
                <w:sz w:val="26"/>
                <w:szCs w:val="26"/>
              </w:rPr>
            </w:pPr>
            <w:r w:rsidRPr="00E75702">
              <w:rPr>
                <w:b/>
                <w:color w:val="FF0000"/>
                <w:sz w:val="26"/>
                <w:szCs w:val="26"/>
              </w:rPr>
              <w:t>Update:</w:t>
            </w:r>
          </w:p>
          <w:p w14:paraId="50762F95" w14:textId="5DA98F6B" w:rsidR="004979C6" w:rsidRDefault="00E75702" w:rsidP="002E431C">
            <w:pPr>
              <w:spacing w:after="80"/>
              <w:rPr>
                <w:bCs/>
                <w:sz w:val="26"/>
                <w:szCs w:val="26"/>
              </w:rPr>
            </w:pPr>
            <w:r>
              <w:rPr>
                <w:bCs/>
                <w:sz w:val="26"/>
                <w:szCs w:val="26"/>
              </w:rPr>
              <w:t xml:space="preserve">The PQS Part 2 2020-21 declaration </w:t>
            </w:r>
            <w:r w:rsidR="004979C6">
              <w:rPr>
                <w:bCs/>
                <w:sz w:val="26"/>
                <w:szCs w:val="26"/>
              </w:rPr>
              <w:t xml:space="preserve">remains open until 23:59 on the </w:t>
            </w:r>
            <w:r w:rsidR="00B52E85">
              <w:rPr>
                <w:bCs/>
                <w:sz w:val="26"/>
                <w:szCs w:val="26"/>
              </w:rPr>
              <w:t>1</w:t>
            </w:r>
            <w:r w:rsidR="00B52E85" w:rsidRPr="004979C6">
              <w:rPr>
                <w:bCs/>
                <w:sz w:val="26"/>
                <w:szCs w:val="26"/>
                <w:vertAlign w:val="superscript"/>
              </w:rPr>
              <w:t>st of</w:t>
            </w:r>
            <w:r w:rsidR="004979C6">
              <w:rPr>
                <w:bCs/>
                <w:sz w:val="26"/>
                <w:szCs w:val="26"/>
              </w:rPr>
              <w:t xml:space="preserve"> March 2021.  Claim via MYS. </w:t>
            </w:r>
          </w:p>
          <w:p w14:paraId="298E9909" w14:textId="77777777" w:rsidR="004979C6" w:rsidRDefault="004979C6" w:rsidP="002E431C">
            <w:pPr>
              <w:spacing w:after="80"/>
              <w:rPr>
                <w:bCs/>
                <w:sz w:val="26"/>
                <w:szCs w:val="26"/>
              </w:rPr>
            </w:pPr>
            <w:r>
              <w:rPr>
                <w:bCs/>
                <w:sz w:val="26"/>
                <w:szCs w:val="26"/>
              </w:rPr>
              <w:t>You will then have u</w:t>
            </w:r>
            <w:r w:rsidR="00E75702">
              <w:rPr>
                <w:bCs/>
                <w:sz w:val="26"/>
                <w:szCs w:val="26"/>
              </w:rPr>
              <w:t>ntil 30</w:t>
            </w:r>
            <w:r w:rsidR="00E75702" w:rsidRPr="00E75702">
              <w:rPr>
                <w:bCs/>
                <w:sz w:val="26"/>
                <w:szCs w:val="26"/>
                <w:vertAlign w:val="superscript"/>
              </w:rPr>
              <w:t>th</w:t>
            </w:r>
            <w:r w:rsidR="00E75702">
              <w:rPr>
                <w:bCs/>
                <w:sz w:val="26"/>
                <w:szCs w:val="26"/>
              </w:rPr>
              <w:t xml:space="preserve"> June 2021 to complete any elements of </w:t>
            </w:r>
            <w:r>
              <w:rPr>
                <w:bCs/>
                <w:sz w:val="26"/>
                <w:szCs w:val="26"/>
              </w:rPr>
              <w:t>Domains 1,2 and 3.</w:t>
            </w:r>
          </w:p>
          <w:p w14:paraId="437E2023" w14:textId="77777777" w:rsidR="004979C6" w:rsidRDefault="002E431C" w:rsidP="004979C6">
            <w:pPr>
              <w:spacing w:after="80"/>
              <w:rPr>
                <w:rStyle w:val="Hyperlink"/>
                <w:bCs/>
                <w:sz w:val="26"/>
                <w:szCs w:val="26"/>
              </w:rPr>
            </w:pPr>
            <w:r>
              <w:rPr>
                <w:bCs/>
                <w:sz w:val="26"/>
                <w:szCs w:val="26"/>
              </w:rPr>
              <w:t xml:space="preserve">Full details of requirements for Part 2 of the 2020-21 Pharmacy quality Scheme (PQS) can be found on the </w:t>
            </w:r>
            <w:hyperlink r:id="rId16" w:history="1">
              <w:r w:rsidRPr="00B02F5C">
                <w:rPr>
                  <w:rStyle w:val="Hyperlink"/>
                  <w:bCs/>
                  <w:sz w:val="26"/>
                  <w:szCs w:val="26"/>
                </w:rPr>
                <w:t>PSNC Website</w:t>
              </w:r>
            </w:hyperlink>
            <w:r w:rsidR="004979C6">
              <w:rPr>
                <w:rStyle w:val="Hyperlink"/>
                <w:bCs/>
                <w:sz w:val="26"/>
                <w:szCs w:val="26"/>
              </w:rPr>
              <w:t>.</w:t>
            </w:r>
          </w:p>
          <w:p w14:paraId="5EE35C11" w14:textId="19E8FC5C" w:rsidR="004979C6" w:rsidRPr="00E75702" w:rsidRDefault="004979C6" w:rsidP="004979C6">
            <w:pPr>
              <w:spacing w:after="80"/>
              <w:rPr>
                <w:rStyle w:val="Hyperlink"/>
                <w:bCs/>
                <w:sz w:val="26"/>
                <w:szCs w:val="26"/>
              </w:rPr>
            </w:pPr>
            <w:r>
              <w:rPr>
                <w:rStyle w:val="Hyperlink"/>
                <w:color w:val="auto"/>
                <w:sz w:val="26"/>
                <w:szCs w:val="26"/>
                <w:u w:val="none"/>
              </w:rPr>
              <w:t>T</w:t>
            </w:r>
            <w:r w:rsidRPr="00E75702">
              <w:rPr>
                <w:rStyle w:val="Hyperlink"/>
                <w:color w:val="auto"/>
                <w:sz w:val="26"/>
                <w:szCs w:val="26"/>
                <w:u w:val="none"/>
              </w:rPr>
              <w:t xml:space="preserve">his now includes a PQS Part 2 </w:t>
            </w:r>
            <w:r>
              <w:rPr>
                <w:rStyle w:val="Hyperlink"/>
                <w:color w:val="auto"/>
                <w:sz w:val="26"/>
                <w:szCs w:val="26"/>
                <w:u w:val="none"/>
              </w:rPr>
              <w:fldChar w:fldCharType="begin"/>
            </w:r>
            <w:r>
              <w:rPr>
                <w:rStyle w:val="Hyperlink"/>
                <w:color w:val="auto"/>
                <w:sz w:val="26"/>
                <w:szCs w:val="26"/>
                <w:u w:val="none"/>
              </w:rPr>
              <w:instrText xml:space="preserve"> HYPERLINK "https://psnc.org.uk/our-news/pharmacy-quality-scheme-part-2-evidence-checklist-pharmoutcomes-framework/" </w:instrText>
            </w:r>
            <w:r>
              <w:rPr>
                <w:rStyle w:val="Hyperlink"/>
                <w:color w:val="auto"/>
                <w:sz w:val="26"/>
                <w:szCs w:val="26"/>
                <w:u w:val="none"/>
              </w:rPr>
              <w:fldChar w:fldCharType="separate"/>
            </w:r>
            <w:r w:rsidRPr="00E75702">
              <w:rPr>
                <w:rStyle w:val="Hyperlink"/>
                <w:sz w:val="26"/>
                <w:szCs w:val="26"/>
              </w:rPr>
              <w:t xml:space="preserve">Evidence Checklist and PharmOutcomes Framework. </w:t>
            </w:r>
          </w:p>
          <w:p w14:paraId="6B0CCE2D" w14:textId="1A261B7C" w:rsidR="001F5DD9" w:rsidRDefault="004979C6" w:rsidP="002E431C">
            <w:pPr>
              <w:spacing w:after="80"/>
              <w:rPr>
                <w:rStyle w:val="Hyperlink"/>
                <w:bCs/>
                <w:sz w:val="26"/>
                <w:szCs w:val="26"/>
              </w:rPr>
            </w:pPr>
            <w:r>
              <w:rPr>
                <w:rStyle w:val="Hyperlink"/>
                <w:color w:val="auto"/>
                <w:sz w:val="26"/>
                <w:szCs w:val="26"/>
                <w:u w:val="none"/>
              </w:rPr>
              <w:fldChar w:fldCharType="end"/>
            </w:r>
            <w:r w:rsidR="001F5DD9">
              <w:rPr>
                <w:bCs/>
                <w:sz w:val="26"/>
                <w:szCs w:val="26"/>
              </w:rPr>
              <w:t xml:space="preserve">Download the LPC PQS2 training summary </w:t>
            </w:r>
            <w:hyperlink r:id="rId17" w:history="1">
              <w:r w:rsidR="001F5DD9" w:rsidRPr="001F5DD9">
                <w:rPr>
                  <w:rStyle w:val="Hyperlink"/>
                  <w:bCs/>
                  <w:sz w:val="26"/>
                  <w:szCs w:val="26"/>
                </w:rPr>
                <w:t>here.</w:t>
              </w:r>
            </w:hyperlink>
          </w:p>
          <w:p w14:paraId="1103DF80" w14:textId="6813EC58" w:rsidR="0084669C" w:rsidRPr="00620E45" w:rsidRDefault="001F5DD9" w:rsidP="004979C6">
            <w:pPr>
              <w:spacing w:after="80"/>
              <w:rPr>
                <w:b/>
                <w:sz w:val="26"/>
                <w:szCs w:val="26"/>
              </w:rPr>
            </w:pPr>
            <w:r>
              <w:rPr>
                <w:b/>
                <w:sz w:val="26"/>
                <w:szCs w:val="26"/>
              </w:rPr>
              <w:t xml:space="preserve">Access the local antibiotic formularies to support Domain 1 </w:t>
            </w:r>
            <w:hyperlink r:id="rId18" w:history="1">
              <w:r w:rsidRPr="001F5DD9">
                <w:rPr>
                  <w:rStyle w:val="Hyperlink"/>
                  <w:b/>
                  <w:sz w:val="26"/>
                  <w:szCs w:val="26"/>
                </w:rPr>
                <w:t>here.</w:t>
              </w:r>
            </w:hyperlink>
          </w:p>
        </w:tc>
        <w:tc>
          <w:tcPr>
            <w:tcW w:w="850" w:type="dxa"/>
          </w:tcPr>
          <w:p w14:paraId="5CA1EF2A" w14:textId="77777777" w:rsidR="002E431C" w:rsidRPr="000D6F0E" w:rsidRDefault="002E431C" w:rsidP="002E431C">
            <w:pPr>
              <w:spacing w:after="120"/>
              <w:rPr>
                <w:b/>
                <w:color w:val="0070C0"/>
                <w:sz w:val="26"/>
                <w:szCs w:val="26"/>
              </w:rPr>
            </w:pPr>
          </w:p>
        </w:tc>
      </w:tr>
      <w:tr w:rsidR="002E431C" w14:paraId="3F51232D" w14:textId="77777777" w:rsidTr="002A03DA">
        <w:tc>
          <w:tcPr>
            <w:tcW w:w="2694" w:type="dxa"/>
          </w:tcPr>
          <w:p w14:paraId="46706DEA" w14:textId="1AE44E20" w:rsidR="002E431C" w:rsidRDefault="002E431C" w:rsidP="002E431C">
            <w:pPr>
              <w:spacing w:after="120"/>
              <w:rPr>
                <w:b/>
                <w:color w:val="0070C0"/>
                <w:sz w:val="26"/>
                <w:szCs w:val="26"/>
              </w:rPr>
            </w:pPr>
            <w:r>
              <w:rPr>
                <w:b/>
                <w:color w:val="0070C0"/>
                <w:sz w:val="26"/>
                <w:szCs w:val="26"/>
              </w:rPr>
              <w:t>Check Shared Mailbox</w:t>
            </w:r>
          </w:p>
        </w:tc>
        <w:tc>
          <w:tcPr>
            <w:tcW w:w="7371" w:type="dxa"/>
          </w:tcPr>
          <w:p w14:paraId="439765F0" w14:textId="16DA1B52" w:rsidR="002E431C" w:rsidRPr="00620E45" w:rsidRDefault="002E431C" w:rsidP="002E431C">
            <w:pPr>
              <w:rPr>
                <w:b/>
                <w:bCs/>
                <w:color w:val="FF0000"/>
                <w:sz w:val="26"/>
                <w:szCs w:val="26"/>
              </w:rPr>
            </w:pPr>
            <w:r w:rsidRPr="00620E45">
              <w:rPr>
                <w:b/>
                <w:bCs/>
                <w:color w:val="FF0000"/>
                <w:sz w:val="26"/>
                <w:szCs w:val="26"/>
              </w:rPr>
              <w:t>NHSE&amp;I,</w:t>
            </w:r>
            <w:r w:rsidR="005519B3">
              <w:rPr>
                <w:b/>
                <w:bCs/>
                <w:color w:val="FF0000"/>
                <w:sz w:val="26"/>
                <w:szCs w:val="26"/>
              </w:rPr>
              <w:t xml:space="preserve"> NHSBSA,</w:t>
            </w:r>
            <w:r w:rsidRPr="00620E45">
              <w:rPr>
                <w:b/>
                <w:bCs/>
                <w:color w:val="FF0000"/>
                <w:sz w:val="26"/>
                <w:szCs w:val="26"/>
              </w:rPr>
              <w:t xml:space="preserve"> PCN pharmacy leads and the LPC regularly send important communications to your NHS Shared Mailbox.</w:t>
            </w:r>
          </w:p>
          <w:p w14:paraId="05665D79" w14:textId="77777777" w:rsidR="002E431C" w:rsidRDefault="002E431C" w:rsidP="002E431C">
            <w:pPr>
              <w:rPr>
                <w:b/>
                <w:bCs/>
                <w:color w:val="FF0000"/>
                <w:sz w:val="26"/>
                <w:szCs w:val="26"/>
              </w:rPr>
            </w:pPr>
            <w:r w:rsidRPr="00620E45">
              <w:rPr>
                <w:b/>
                <w:bCs/>
                <w:color w:val="FF0000"/>
                <w:sz w:val="26"/>
                <w:szCs w:val="26"/>
              </w:rPr>
              <w:t>Please ensure sufficient staff have access to your mailbox and that it is checked at least once daily.</w:t>
            </w:r>
            <w:r w:rsidR="004979C6">
              <w:rPr>
                <w:b/>
                <w:bCs/>
                <w:color w:val="FF0000"/>
                <w:sz w:val="26"/>
                <w:szCs w:val="26"/>
              </w:rPr>
              <w:t xml:space="preserve">  This is becoming more and more important as referrals for services like CPCS and DMS may well come in via NHS Mail.</w:t>
            </w:r>
          </w:p>
          <w:p w14:paraId="62358545" w14:textId="695A2D35" w:rsidR="00C1108D" w:rsidRPr="00C2368D" w:rsidRDefault="00C1108D" w:rsidP="002E431C">
            <w:pPr>
              <w:rPr>
                <w:sz w:val="26"/>
                <w:szCs w:val="26"/>
              </w:rPr>
            </w:pPr>
            <w:r>
              <w:rPr>
                <w:b/>
                <w:bCs/>
                <w:color w:val="FF0000"/>
                <w:sz w:val="26"/>
                <w:szCs w:val="26"/>
              </w:rPr>
              <w:t>In additional, check spam folders regularly for emails from Devon LPC or NHSE&amp;I and mark as “Not Spam”.</w:t>
            </w:r>
          </w:p>
        </w:tc>
        <w:tc>
          <w:tcPr>
            <w:tcW w:w="850" w:type="dxa"/>
          </w:tcPr>
          <w:p w14:paraId="3A468B0C" w14:textId="77777777" w:rsidR="002E431C" w:rsidRDefault="002E431C" w:rsidP="002E431C">
            <w:pPr>
              <w:spacing w:after="120"/>
              <w:rPr>
                <w:b/>
                <w:color w:val="0070C0"/>
                <w:sz w:val="26"/>
                <w:szCs w:val="26"/>
              </w:rPr>
            </w:pPr>
          </w:p>
        </w:tc>
      </w:tr>
      <w:tr w:rsidR="00860581" w14:paraId="4DE8759F" w14:textId="77777777" w:rsidTr="002A03DA">
        <w:tc>
          <w:tcPr>
            <w:tcW w:w="2694" w:type="dxa"/>
          </w:tcPr>
          <w:p w14:paraId="16232D4F" w14:textId="77777777" w:rsidR="00860581" w:rsidRDefault="00860581" w:rsidP="002E431C">
            <w:pPr>
              <w:spacing w:after="120"/>
              <w:rPr>
                <w:b/>
                <w:color w:val="0070C0"/>
                <w:sz w:val="26"/>
                <w:szCs w:val="26"/>
              </w:rPr>
            </w:pPr>
            <w:r>
              <w:rPr>
                <w:b/>
                <w:color w:val="0070C0"/>
                <w:sz w:val="26"/>
                <w:szCs w:val="26"/>
              </w:rPr>
              <w:t>Review Steering Group (RSG) Engagement Session</w:t>
            </w:r>
          </w:p>
          <w:p w14:paraId="6B4E120E" w14:textId="70F2AF33" w:rsidR="00860581" w:rsidRDefault="00860581" w:rsidP="002E431C">
            <w:pPr>
              <w:spacing w:after="120"/>
              <w:rPr>
                <w:b/>
                <w:color w:val="0070C0"/>
                <w:sz w:val="26"/>
                <w:szCs w:val="26"/>
              </w:rPr>
            </w:pPr>
            <w:r w:rsidRPr="00860581">
              <w:rPr>
                <w:b/>
                <w:color w:val="FF0000"/>
                <w:sz w:val="26"/>
                <w:szCs w:val="26"/>
              </w:rPr>
              <w:t>Tuesday 9</w:t>
            </w:r>
            <w:r w:rsidRPr="00860581">
              <w:rPr>
                <w:b/>
                <w:color w:val="FF0000"/>
                <w:sz w:val="26"/>
                <w:szCs w:val="26"/>
                <w:vertAlign w:val="superscript"/>
              </w:rPr>
              <w:t>th</w:t>
            </w:r>
            <w:r w:rsidRPr="00860581">
              <w:rPr>
                <w:b/>
                <w:color w:val="FF0000"/>
                <w:sz w:val="26"/>
                <w:szCs w:val="26"/>
              </w:rPr>
              <w:t xml:space="preserve"> March at 7.30 pm</w:t>
            </w:r>
          </w:p>
        </w:tc>
        <w:tc>
          <w:tcPr>
            <w:tcW w:w="7371" w:type="dxa"/>
          </w:tcPr>
          <w:p w14:paraId="3BF8597A" w14:textId="327C0FBE" w:rsidR="00860581" w:rsidRDefault="00860581" w:rsidP="002E431C">
            <w:pPr>
              <w:rPr>
                <w:color w:val="000000" w:themeColor="text1"/>
                <w:sz w:val="26"/>
                <w:szCs w:val="26"/>
              </w:rPr>
            </w:pPr>
            <w:r>
              <w:rPr>
                <w:color w:val="000000" w:themeColor="text1"/>
                <w:sz w:val="26"/>
                <w:szCs w:val="26"/>
              </w:rPr>
              <w:t xml:space="preserve">As you will be aware there has bee a review of PSNC/LPC.  The review has been completed with </w:t>
            </w:r>
            <w:r w:rsidR="00B52E85">
              <w:rPr>
                <w:color w:val="000000" w:themeColor="text1"/>
                <w:sz w:val="26"/>
                <w:szCs w:val="26"/>
              </w:rPr>
              <w:t>recommendations</w:t>
            </w:r>
            <w:r>
              <w:rPr>
                <w:color w:val="000000" w:themeColor="text1"/>
                <w:sz w:val="26"/>
                <w:szCs w:val="26"/>
              </w:rPr>
              <w:t>.  A RSG has been put together on how these recommendations may/may not be taken forward,</w:t>
            </w:r>
          </w:p>
          <w:p w14:paraId="2D17A264" w14:textId="36E27796" w:rsidR="00860581" w:rsidRDefault="00860581" w:rsidP="002E431C">
            <w:pPr>
              <w:rPr>
                <w:color w:val="000000" w:themeColor="text1"/>
                <w:sz w:val="26"/>
                <w:szCs w:val="26"/>
              </w:rPr>
            </w:pPr>
            <w:r>
              <w:rPr>
                <w:color w:val="000000" w:themeColor="text1"/>
                <w:sz w:val="26"/>
                <w:szCs w:val="26"/>
              </w:rPr>
              <w:t>Community pharmacy contractors are invited to an online “Your Representation, Your Say” engagement on 9</w:t>
            </w:r>
            <w:r w:rsidRPr="00860581">
              <w:rPr>
                <w:color w:val="000000" w:themeColor="text1"/>
                <w:sz w:val="26"/>
                <w:szCs w:val="26"/>
                <w:vertAlign w:val="superscript"/>
              </w:rPr>
              <w:t>th</w:t>
            </w:r>
            <w:r>
              <w:rPr>
                <w:color w:val="000000" w:themeColor="text1"/>
                <w:sz w:val="26"/>
                <w:szCs w:val="26"/>
              </w:rPr>
              <w:t xml:space="preserve"> March 2021.  Please book via link </w:t>
            </w:r>
            <w:hyperlink r:id="rId19" w:history="1">
              <w:r w:rsidRPr="00860581">
                <w:rPr>
                  <w:rStyle w:val="Hyperlink"/>
                  <w:sz w:val="26"/>
                  <w:szCs w:val="26"/>
                </w:rPr>
                <w:t>here</w:t>
              </w:r>
            </w:hyperlink>
            <w:r>
              <w:rPr>
                <w:color w:val="000000" w:themeColor="text1"/>
                <w:sz w:val="26"/>
                <w:szCs w:val="26"/>
              </w:rPr>
              <w:t>.</w:t>
            </w:r>
          </w:p>
        </w:tc>
        <w:tc>
          <w:tcPr>
            <w:tcW w:w="850" w:type="dxa"/>
          </w:tcPr>
          <w:p w14:paraId="7EBDAED1" w14:textId="77777777" w:rsidR="00860581" w:rsidRDefault="00860581" w:rsidP="002E431C">
            <w:pPr>
              <w:spacing w:after="120"/>
              <w:rPr>
                <w:b/>
                <w:color w:val="0070C0"/>
                <w:sz w:val="26"/>
                <w:szCs w:val="26"/>
              </w:rPr>
            </w:pPr>
          </w:p>
        </w:tc>
      </w:tr>
      <w:tr w:rsidR="00E75702" w14:paraId="72275D6F" w14:textId="77777777" w:rsidTr="002A03DA">
        <w:tc>
          <w:tcPr>
            <w:tcW w:w="2694" w:type="dxa"/>
          </w:tcPr>
          <w:p w14:paraId="1EB4123D" w14:textId="77777777" w:rsidR="00120AE9" w:rsidRDefault="00E75702" w:rsidP="002E431C">
            <w:pPr>
              <w:spacing w:after="120"/>
              <w:rPr>
                <w:b/>
                <w:color w:val="0070C0"/>
                <w:sz w:val="26"/>
                <w:szCs w:val="26"/>
              </w:rPr>
            </w:pPr>
            <w:r>
              <w:rPr>
                <w:b/>
                <w:color w:val="0070C0"/>
                <w:sz w:val="26"/>
                <w:szCs w:val="26"/>
              </w:rPr>
              <w:t>Discharge Medicines Service (Essential Service)</w:t>
            </w:r>
          </w:p>
          <w:p w14:paraId="2BD84E4F" w14:textId="77777777" w:rsidR="00120AE9" w:rsidRDefault="00120AE9" w:rsidP="002E431C">
            <w:pPr>
              <w:spacing w:after="120"/>
              <w:rPr>
                <w:b/>
                <w:color w:val="0070C0"/>
                <w:sz w:val="26"/>
                <w:szCs w:val="26"/>
              </w:rPr>
            </w:pPr>
          </w:p>
          <w:p w14:paraId="631A0370" w14:textId="77777777" w:rsidR="00120AE9" w:rsidRDefault="00120AE9" w:rsidP="002E431C">
            <w:pPr>
              <w:spacing w:after="120"/>
              <w:rPr>
                <w:b/>
                <w:color w:val="0070C0"/>
                <w:sz w:val="26"/>
                <w:szCs w:val="26"/>
              </w:rPr>
            </w:pPr>
            <w:r>
              <w:rPr>
                <w:b/>
                <w:color w:val="0070C0"/>
                <w:sz w:val="26"/>
                <w:szCs w:val="26"/>
              </w:rPr>
              <w:t>Contractual NEW ESSENTIAL SERVICE</w:t>
            </w:r>
          </w:p>
          <w:p w14:paraId="2710C71C" w14:textId="6DC96AFB" w:rsidR="003F1267" w:rsidRDefault="003F1267" w:rsidP="002E431C">
            <w:pPr>
              <w:spacing w:after="120"/>
              <w:rPr>
                <w:b/>
                <w:color w:val="0070C0"/>
                <w:sz w:val="26"/>
                <w:szCs w:val="26"/>
              </w:rPr>
            </w:pPr>
            <w:r w:rsidRPr="003F1267">
              <w:rPr>
                <w:b/>
                <w:color w:val="FF0000"/>
                <w:sz w:val="26"/>
                <w:szCs w:val="26"/>
              </w:rPr>
              <w:t>15</w:t>
            </w:r>
            <w:r w:rsidRPr="003F1267">
              <w:rPr>
                <w:b/>
                <w:color w:val="FF0000"/>
                <w:sz w:val="26"/>
                <w:szCs w:val="26"/>
                <w:vertAlign w:val="superscript"/>
              </w:rPr>
              <w:t>th</w:t>
            </w:r>
            <w:r w:rsidRPr="003F1267">
              <w:rPr>
                <w:b/>
                <w:color w:val="FF0000"/>
                <w:sz w:val="26"/>
                <w:szCs w:val="26"/>
              </w:rPr>
              <w:t xml:space="preserve"> February 2021</w:t>
            </w:r>
          </w:p>
        </w:tc>
        <w:tc>
          <w:tcPr>
            <w:tcW w:w="7371" w:type="dxa"/>
          </w:tcPr>
          <w:p w14:paraId="61D21895" w14:textId="670C7013" w:rsidR="004D0793" w:rsidRDefault="00120AE9" w:rsidP="002E431C">
            <w:pPr>
              <w:rPr>
                <w:color w:val="000000" w:themeColor="text1"/>
                <w:sz w:val="26"/>
                <w:szCs w:val="26"/>
              </w:rPr>
            </w:pPr>
            <w:r>
              <w:rPr>
                <w:color w:val="000000" w:themeColor="text1"/>
                <w:sz w:val="26"/>
                <w:szCs w:val="26"/>
              </w:rPr>
              <w:t>DMS bec</w:t>
            </w:r>
            <w:r w:rsidR="00C1108D">
              <w:rPr>
                <w:color w:val="000000" w:themeColor="text1"/>
                <w:sz w:val="26"/>
                <w:szCs w:val="26"/>
              </w:rPr>
              <w:t>ame</w:t>
            </w:r>
            <w:r>
              <w:rPr>
                <w:color w:val="000000" w:themeColor="text1"/>
                <w:sz w:val="26"/>
                <w:szCs w:val="26"/>
              </w:rPr>
              <w:t xml:space="preserve"> a new Essential Service </w:t>
            </w:r>
            <w:r w:rsidR="00C1108D">
              <w:rPr>
                <w:color w:val="000000" w:themeColor="text1"/>
                <w:sz w:val="26"/>
                <w:szCs w:val="26"/>
              </w:rPr>
              <w:t>on</w:t>
            </w:r>
            <w:r>
              <w:rPr>
                <w:color w:val="000000" w:themeColor="text1"/>
                <w:sz w:val="26"/>
                <w:szCs w:val="26"/>
              </w:rPr>
              <w:t xml:space="preserve"> the </w:t>
            </w:r>
            <w:r w:rsidR="00B52E85">
              <w:rPr>
                <w:color w:val="000000" w:themeColor="text1"/>
                <w:sz w:val="26"/>
                <w:szCs w:val="26"/>
              </w:rPr>
              <w:t>15</w:t>
            </w:r>
            <w:r w:rsidR="00B52E85" w:rsidRPr="00120AE9">
              <w:rPr>
                <w:color w:val="000000" w:themeColor="text1"/>
                <w:sz w:val="26"/>
                <w:szCs w:val="26"/>
                <w:vertAlign w:val="superscript"/>
              </w:rPr>
              <w:t>th of</w:t>
            </w:r>
            <w:r>
              <w:rPr>
                <w:color w:val="000000" w:themeColor="text1"/>
                <w:sz w:val="26"/>
                <w:szCs w:val="26"/>
              </w:rPr>
              <w:t xml:space="preserve"> February 2021.  </w:t>
            </w:r>
            <w:r w:rsidR="00C1108D">
              <w:rPr>
                <w:color w:val="000000" w:themeColor="text1"/>
                <w:sz w:val="26"/>
                <w:szCs w:val="26"/>
              </w:rPr>
              <w:t xml:space="preserve">All DMS referrals must be actioned as described in the NHSE&amp;I guidance on the regulations, see Chapter 8, page 20. Further service details here including a helpful contractor checklist to work through (see under resources). </w:t>
            </w:r>
          </w:p>
          <w:p w14:paraId="3E331BF1" w14:textId="77777777" w:rsidR="00120AE9" w:rsidRDefault="00120AE9" w:rsidP="002E431C">
            <w:pPr>
              <w:rPr>
                <w:color w:val="000000" w:themeColor="text1"/>
                <w:sz w:val="26"/>
                <w:szCs w:val="26"/>
              </w:rPr>
            </w:pPr>
          </w:p>
          <w:p w14:paraId="1D41654D" w14:textId="628CE209" w:rsidR="00120AE9" w:rsidRPr="00507638" w:rsidRDefault="00120AE9" w:rsidP="00507638">
            <w:pPr>
              <w:pStyle w:val="ListParagraph"/>
              <w:numPr>
                <w:ilvl w:val="0"/>
                <w:numId w:val="13"/>
              </w:numPr>
              <w:rPr>
                <w:color w:val="000000" w:themeColor="text1"/>
                <w:sz w:val="26"/>
                <w:szCs w:val="26"/>
              </w:rPr>
            </w:pPr>
            <w:r w:rsidRPr="00507638">
              <w:rPr>
                <w:color w:val="000000" w:themeColor="text1"/>
                <w:sz w:val="26"/>
                <w:szCs w:val="26"/>
              </w:rPr>
              <w:t xml:space="preserve">Read the </w:t>
            </w:r>
            <w:hyperlink r:id="rId20" w:history="1">
              <w:r w:rsidRPr="00507638">
                <w:rPr>
                  <w:rStyle w:val="Hyperlink"/>
                  <w:sz w:val="26"/>
                  <w:szCs w:val="26"/>
                </w:rPr>
                <w:t>NHSE&amp;I regulations guidance</w:t>
              </w:r>
            </w:hyperlink>
            <w:r w:rsidRPr="00507638">
              <w:rPr>
                <w:color w:val="000000" w:themeColor="text1"/>
                <w:sz w:val="26"/>
                <w:szCs w:val="26"/>
              </w:rPr>
              <w:t xml:space="preserve"> and the </w:t>
            </w:r>
            <w:hyperlink r:id="rId21" w:history="1">
              <w:r w:rsidRPr="00507638">
                <w:rPr>
                  <w:rStyle w:val="Hyperlink"/>
                  <w:sz w:val="26"/>
                  <w:szCs w:val="26"/>
                </w:rPr>
                <w:t>NHSE&amp;I DMS</w:t>
              </w:r>
            </w:hyperlink>
            <w:r w:rsidRPr="00507638">
              <w:rPr>
                <w:color w:val="000000" w:themeColor="text1"/>
                <w:sz w:val="26"/>
                <w:szCs w:val="26"/>
              </w:rPr>
              <w:t xml:space="preserve"> Toolkit so that you understand service requirements</w:t>
            </w:r>
          </w:p>
          <w:p w14:paraId="028A7FBC" w14:textId="25C961C3" w:rsidR="00120AE9" w:rsidRPr="00507638" w:rsidRDefault="00120AE9" w:rsidP="00507638">
            <w:pPr>
              <w:pStyle w:val="ListParagraph"/>
              <w:numPr>
                <w:ilvl w:val="0"/>
                <w:numId w:val="13"/>
              </w:numPr>
              <w:rPr>
                <w:color w:val="000000" w:themeColor="text1"/>
                <w:sz w:val="26"/>
                <w:szCs w:val="26"/>
              </w:rPr>
            </w:pPr>
            <w:r w:rsidRPr="00507638">
              <w:rPr>
                <w:color w:val="000000" w:themeColor="text1"/>
                <w:sz w:val="26"/>
                <w:szCs w:val="26"/>
              </w:rPr>
              <w:t xml:space="preserve">Undertake the </w:t>
            </w:r>
            <w:hyperlink r:id="rId22" w:history="1">
              <w:r w:rsidRPr="00507638">
                <w:rPr>
                  <w:rStyle w:val="Hyperlink"/>
                  <w:sz w:val="26"/>
                  <w:szCs w:val="26"/>
                </w:rPr>
                <w:t>CPPE DMS</w:t>
              </w:r>
            </w:hyperlink>
            <w:r w:rsidRPr="00507638">
              <w:rPr>
                <w:color w:val="000000" w:themeColor="text1"/>
                <w:sz w:val="26"/>
                <w:szCs w:val="26"/>
              </w:rPr>
              <w:t xml:space="preserve"> e-learning and assessment (recommended).  See here</w:t>
            </w:r>
          </w:p>
          <w:p w14:paraId="472EA2A9" w14:textId="525BFB30" w:rsidR="00120AE9" w:rsidRPr="00507638" w:rsidRDefault="00120AE9" w:rsidP="00507638">
            <w:pPr>
              <w:pStyle w:val="ListParagraph"/>
              <w:numPr>
                <w:ilvl w:val="0"/>
                <w:numId w:val="13"/>
              </w:numPr>
              <w:rPr>
                <w:color w:val="000000" w:themeColor="text1"/>
                <w:sz w:val="26"/>
                <w:szCs w:val="26"/>
              </w:rPr>
            </w:pPr>
            <w:r w:rsidRPr="00507638">
              <w:rPr>
                <w:color w:val="000000" w:themeColor="text1"/>
                <w:sz w:val="26"/>
                <w:szCs w:val="26"/>
              </w:rPr>
              <w:lastRenderedPageBreak/>
              <w:t xml:space="preserve">Complete the DMS </w:t>
            </w:r>
            <w:hyperlink r:id="rId23" w:anchor="navTop" w:history="1">
              <w:r w:rsidRPr="00507638">
                <w:rPr>
                  <w:rStyle w:val="Hyperlink"/>
                  <w:sz w:val="26"/>
                  <w:szCs w:val="26"/>
                </w:rPr>
                <w:t>DoC</w:t>
              </w:r>
            </w:hyperlink>
            <w:r w:rsidRPr="00507638">
              <w:rPr>
                <w:color w:val="000000" w:themeColor="text1"/>
                <w:sz w:val="26"/>
                <w:szCs w:val="26"/>
              </w:rPr>
              <w:t xml:space="preserve"> (Mandatory for pharmacists and pharmacy technicians providing the service).</w:t>
            </w:r>
          </w:p>
          <w:p w14:paraId="24742B50" w14:textId="242471F5" w:rsidR="00507638" w:rsidRDefault="00120AE9" w:rsidP="00507638">
            <w:pPr>
              <w:pStyle w:val="ListParagraph"/>
              <w:numPr>
                <w:ilvl w:val="0"/>
                <w:numId w:val="13"/>
              </w:numPr>
              <w:rPr>
                <w:color w:val="000000" w:themeColor="text1"/>
                <w:sz w:val="26"/>
                <w:szCs w:val="26"/>
              </w:rPr>
            </w:pPr>
            <w:r w:rsidRPr="00507638">
              <w:rPr>
                <w:color w:val="000000" w:themeColor="text1"/>
                <w:sz w:val="26"/>
                <w:szCs w:val="26"/>
              </w:rPr>
              <w:t xml:space="preserve">Further services details </w:t>
            </w:r>
            <w:hyperlink r:id="rId24" w:history="1">
              <w:r w:rsidRPr="00507638">
                <w:rPr>
                  <w:rStyle w:val="Hyperlink"/>
                  <w:sz w:val="26"/>
                  <w:szCs w:val="26"/>
                </w:rPr>
                <w:t>here</w:t>
              </w:r>
            </w:hyperlink>
            <w:r w:rsidRPr="00507638">
              <w:rPr>
                <w:color w:val="000000" w:themeColor="text1"/>
                <w:sz w:val="26"/>
                <w:szCs w:val="26"/>
              </w:rPr>
              <w:t xml:space="preserve"> including a helpful contractor checklist to work through (see under </w:t>
            </w:r>
            <w:r w:rsidR="00860581">
              <w:rPr>
                <w:color w:val="000000" w:themeColor="text1"/>
                <w:sz w:val="26"/>
                <w:szCs w:val="26"/>
              </w:rPr>
              <w:t>R</w:t>
            </w:r>
            <w:r w:rsidRPr="00507638">
              <w:rPr>
                <w:color w:val="000000" w:themeColor="text1"/>
                <w:sz w:val="26"/>
                <w:szCs w:val="26"/>
              </w:rPr>
              <w:t xml:space="preserve">esources). </w:t>
            </w:r>
          </w:p>
          <w:p w14:paraId="2F23654E" w14:textId="4F1EDA4A" w:rsidR="00860581" w:rsidRDefault="00860581" w:rsidP="00507638">
            <w:pPr>
              <w:pStyle w:val="ListParagraph"/>
              <w:numPr>
                <w:ilvl w:val="0"/>
                <w:numId w:val="13"/>
              </w:numPr>
              <w:rPr>
                <w:color w:val="000000" w:themeColor="text1"/>
                <w:sz w:val="26"/>
                <w:szCs w:val="26"/>
              </w:rPr>
            </w:pPr>
            <w:r>
              <w:rPr>
                <w:color w:val="000000" w:themeColor="text1"/>
                <w:sz w:val="26"/>
                <w:szCs w:val="26"/>
              </w:rPr>
              <w:t xml:space="preserve">Check at regular intervals throughout the day for DMS referrals and action accordingly.  Referrals may be received via NHS Mail from NHS Trusts or other providers of NHS Services in or out of the county of Devon; or referrals between community pharmacies. </w:t>
            </w:r>
          </w:p>
          <w:p w14:paraId="5F18B404" w14:textId="77777777" w:rsidR="00507638" w:rsidRDefault="00507638" w:rsidP="00507638">
            <w:pPr>
              <w:pStyle w:val="ListParagraph"/>
              <w:rPr>
                <w:color w:val="000000" w:themeColor="text1"/>
                <w:sz w:val="26"/>
                <w:szCs w:val="26"/>
              </w:rPr>
            </w:pPr>
          </w:p>
          <w:p w14:paraId="49B343AE" w14:textId="739BEFBF" w:rsidR="00507638" w:rsidRPr="00507638" w:rsidRDefault="00507638" w:rsidP="00860581">
            <w:pPr>
              <w:rPr>
                <w:color w:val="000000" w:themeColor="text1"/>
                <w:sz w:val="26"/>
                <w:szCs w:val="26"/>
              </w:rPr>
            </w:pPr>
            <w:r w:rsidRPr="00507638">
              <w:rPr>
                <w:b/>
                <w:bCs/>
                <w:color w:val="FF0000"/>
                <w:sz w:val="26"/>
                <w:szCs w:val="26"/>
              </w:rPr>
              <w:t>Your LPC is working with the</w:t>
            </w:r>
            <w:r w:rsidR="00C1108D">
              <w:rPr>
                <w:b/>
                <w:bCs/>
                <w:color w:val="FF0000"/>
                <w:sz w:val="26"/>
                <w:szCs w:val="26"/>
              </w:rPr>
              <w:t xml:space="preserve"> six </w:t>
            </w:r>
            <w:r w:rsidR="00860581">
              <w:rPr>
                <w:b/>
                <w:bCs/>
                <w:color w:val="FF0000"/>
                <w:sz w:val="26"/>
                <w:szCs w:val="26"/>
              </w:rPr>
              <w:t xml:space="preserve">NHS </w:t>
            </w:r>
            <w:r w:rsidR="00C1108D">
              <w:rPr>
                <w:b/>
                <w:bCs/>
                <w:color w:val="FF0000"/>
                <w:sz w:val="26"/>
                <w:szCs w:val="26"/>
              </w:rPr>
              <w:t xml:space="preserve">Trusts </w:t>
            </w:r>
            <w:r w:rsidRPr="00507638">
              <w:rPr>
                <w:b/>
                <w:bCs/>
                <w:color w:val="FF0000"/>
                <w:sz w:val="26"/>
                <w:szCs w:val="26"/>
              </w:rPr>
              <w:t>in Devon to determine what they will be able to accommodate in terms of go-live timescale, process and referrals</w:t>
            </w:r>
            <w:r w:rsidR="00C1108D">
              <w:rPr>
                <w:b/>
                <w:bCs/>
                <w:color w:val="FF0000"/>
                <w:sz w:val="26"/>
                <w:szCs w:val="26"/>
              </w:rPr>
              <w:t xml:space="preserve">.  Provisional local training and engagement events are planned for the </w:t>
            </w:r>
            <w:r w:rsidR="00B52E85">
              <w:rPr>
                <w:b/>
                <w:bCs/>
                <w:color w:val="FF0000"/>
                <w:sz w:val="26"/>
                <w:szCs w:val="26"/>
              </w:rPr>
              <w:t>17</w:t>
            </w:r>
            <w:r w:rsidR="00B52E85" w:rsidRPr="00C1108D">
              <w:rPr>
                <w:b/>
                <w:bCs/>
                <w:color w:val="FF0000"/>
                <w:sz w:val="26"/>
                <w:szCs w:val="26"/>
                <w:vertAlign w:val="superscript"/>
              </w:rPr>
              <w:t>th of</w:t>
            </w:r>
            <w:r w:rsidR="00C1108D">
              <w:rPr>
                <w:b/>
                <w:bCs/>
                <w:color w:val="FF0000"/>
                <w:sz w:val="26"/>
                <w:szCs w:val="26"/>
              </w:rPr>
              <w:t xml:space="preserve"> March 2021 and the </w:t>
            </w:r>
            <w:r w:rsidR="00B52E85">
              <w:rPr>
                <w:b/>
                <w:bCs/>
                <w:color w:val="FF0000"/>
                <w:sz w:val="26"/>
                <w:szCs w:val="26"/>
              </w:rPr>
              <w:t>23</w:t>
            </w:r>
            <w:r w:rsidR="00B52E85" w:rsidRPr="00C1108D">
              <w:rPr>
                <w:b/>
                <w:bCs/>
                <w:color w:val="FF0000"/>
                <w:sz w:val="26"/>
                <w:szCs w:val="26"/>
                <w:vertAlign w:val="superscript"/>
              </w:rPr>
              <w:t>rd of</w:t>
            </w:r>
            <w:r w:rsidR="00C1108D">
              <w:rPr>
                <w:b/>
                <w:bCs/>
                <w:color w:val="FF0000"/>
                <w:sz w:val="26"/>
                <w:szCs w:val="26"/>
              </w:rPr>
              <w:t xml:space="preserve"> March 2021 (tbc). </w:t>
            </w:r>
            <w:r w:rsidRPr="00507638">
              <w:rPr>
                <w:b/>
                <w:bCs/>
                <w:color w:val="FF0000"/>
                <w:sz w:val="26"/>
                <w:szCs w:val="26"/>
              </w:rPr>
              <w:t xml:space="preserve"> </w:t>
            </w:r>
          </w:p>
        </w:tc>
        <w:tc>
          <w:tcPr>
            <w:tcW w:w="850" w:type="dxa"/>
          </w:tcPr>
          <w:p w14:paraId="7D384120" w14:textId="77777777" w:rsidR="00E75702" w:rsidRDefault="00E75702" w:rsidP="002E431C">
            <w:pPr>
              <w:spacing w:after="120"/>
              <w:rPr>
                <w:b/>
                <w:color w:val="0070C0"/>
                <w:sz w:val="26"/>
                <w:szCs w:val="26"/>
              </w:rPr>
            </w:pPr>
          </w:p>
        </w:tc>
      </w:tr>
      <w:tr w:rsidR="001F5DD9" w14:paraId="34E10B8E" w14:textId="77777777" w:rsidTr="002A03DA">
        <w:tc>
          <w:tcPr>
            <w:tcW w:w="2694" w:type="dxa"/>
          </w:tcPr>
          <w:p w14:paraId="5C12C744" w14:textId="77777777" w:rsidR="001F5DD9" w:rsidRDefault="001F5DD9" w:rsidP="002E431C">
            <w:pPr>
              <w:spacing w:after="120"/>
              <w:rPr>
                <w:b/>
                <w:color w:val="0070C0"/>
                <w:sz w:val="26"/>
                <w:szCs w:val="26"/>
              </w:rPr>
            </w:pPr>
            <w:r>
              <w:rPr>
                <w:b/>
                <w:color w:val="0070C0"/>
                <w:sz w:val="26"/>
                <w:szCs w:val="26"/>
              </w:rPr>
              <w:t>GPCPCS</w:t>
            </w:r>
          </w:p>
          <w:p w14:paraId="338B4E20" w14:textId="19CE9CD6" w:rsidR="001F5DD9" w:rsidRDefault="001F5DD9" w:rsidP="002E431C">
            <w:pPr>
              <w:spacing w:after="120"/>
              <w:rPr>
                <w:b/>
                <w:color w:val="0070C0"/>
                <w:sz w:val="26"/>
                <w:szCs w:val="26"/>
              </w:rPr>
            </w:pPr>
          </w:p>
        </w:tc>
        <w:tc>
          <w:tcPr>
            <w:tcW w:w="7371" w:type="dxa"/>
          </w:tcPr>
          <w:p w14:paraId="6E7A2403" w14:textId="536BE037" w:rsidR="00FB5F21" w:rsidRDefault="00166D02" w:rsidP="002E431C">
            <w:pPr>
              <w:rPr>
                <w:color w:val="000000" w:themeColor="text1"/>
                <w:sz w:val="26"/>
                <w:szCs w:val="26"/>
              </w:rPr>
            </w:pPr>
            <w:r w:rsidRPr="00166D02">
              <w:rPr>
                <w:color w:val="000000" w:themeColor="text1"/>
                <w:sz w:val="26"/>
                <w:szCs w:val="26"/>
              </w:rPr>
              <w:t xml:space="preserve">The NHS CPCS has been extended to include referrals from general practices as well as from NHS 111. </w:t>
            </w:r>
            <w:r w:rsidR="00FB5F21">
              <w:rPr>
                <w:color w:val="000000" w:themeColor="text1"/>
                <w:sz w:val="26"/>
                <w:szCs w:val="26"/>
              </w:rPr>
              <w:t xml:space="preserve"> Contractors registered to provide the CPCS </w:t>
            </w:r>
            <w:r w:rsidR="0060298C">
              <w:rPr>
                <w:color w:val="000000" w:themeColor="text1"/>
                <w:sz w:val="26"/>
                <w:szCs w:val="26"/>
              </w:rPr>
              <w:t>can</w:t>
            </w:r>
            <w:r w:rsidR="00FB5F21">
              <w:rPr>
                <w:color w:val="000000" w:themeColor="text1"/>
                <w:sz w:val="26"/>
                <w:szCs w:val="26"/>
              </w:rPr>
              <w:t xml:space="preserve"> claim a £300 engagement and setup payment if they undertake a range of actions to get ready for rolling out the referral pathway in their area.  These requirements are detailed in Annex F </w:t>
            </w:r>
            <w:r w:rsidR="00D85827">
              <w:rPr>
                <w:color w:val="000000" w:themeColor="text1"/>
                <w:sz w:val="26"/>
                <w:szCs w:val="26"/>
              </w:rPr>
              <w:t xml:space="preserve">of the </w:t>
            </w:r>
            <w:hyperlink r:id="rId25" w:history="1">
              <w:r w:rsidR="00D85827" w:rsidRPr="004D0793">
                <w:rPr>
                  <w:rStyle w:val="Hyperlink"/>
                  <w:sz w:val="26"/>
                  <w:szCs w:val="26"/>
                </w:rPr>
                <w:t>NHS CPCS service specification</w:t>
              </w:r>
            </w:hyperlink>
            <w:r w:rsidR="00FB5F21">
              <w:rPr>
                <w:rStyle w:val="Hyperlink"/>
                <w:sz w:val="26"/>
                <w:szCs w:val="26"/>
              </w:rPr>
              <w:t>.</w:t>
            </w:r>
            <w:r w:rsidR="00D85827">
              <w:rPr>
                <w:color w:val="000000" w:themeColor="text1"/>
                <w:sz w:val="26"/>
                <w:szCs w:val="26"/>
              </w:rPr>
              <w:t xml:space="preserve"> </w:t>
            </w:r>
          </w:p>
          <w:p w14:paraId="32ACCF68" w14:textId="77777777" w:rsidR="00FB5F21" w:rsidRDefault="00FB5F21" w:rsidP="002E431C">
            <w:pPr>
              <w:rPr>
                <w:color w:val="000000" w:themeColor="text1"/>
                <w:sz w:val="26"/>
                <w:szCs w:val="26"/>
              </w:rPr>
            </w:pPr>
          </w:p>
          <w:p w14:paraId="4A6674A3" w14:textId="722FC4B8" w:rsidR="00507638" w:rsidRPr="003F26BD" w:rsidRDefault="003F26BD" w:rsidP="002E431C">
            <w:pPr>
              <w:rPr>
                <w:rFonts w:cstheme="minorHAnsi"/>
                <w:sz w:val="26"/>
                <w:szCs w:val="26"/>
              </w:rPr>
            </w:pPr>
            <w:r w:rsidRPr="003F26BD">
              <w:rPr>
                <w:rFonts w:cstheme="minorHAnsi"/>
                <w:sz w:val="26"/>
                <w:szCs w:val="26"/>
              </w:rPr>
              <w:t>Contractors registered to provide the CPCS can claim a £300 engagement and setup payment if they undertake a range of actions to get ready for rolling out the referral pathway in their area </w:t>
            </w:r>
            <w:r w:rsidRPr="003F26BD">
              <w:rPr>
                <w:rFonts w:cstheme="minorHAnsi"/>
                <w:b/>
                <w:bCs/>
                <w:sz w:val="26"/>
                <w:szCs w:val="26"/>
              </w:rPr>
              <w:t>by 30th June 2021</w:t>
            </w:r>
            <w:r w:rsidRPr="003F26BD">
              <w:rPr>
                <w:rFonts w:cstheme="minorHAnsi"/>
                <w:sz w:val="26"/>
                <w:szCs w:val="26"/>
              </w:rPr>
              <w:t>. The requirements are detailed in Annex F of the </w:t>
            </w:r>
            <w:hyperlink r:id="rId26" w:history="1">
              <w:r w:rsidRPr="003F26BD">
                <w:rPr>
                  <w:rFonts w:cstheme="minorHAnsi"/>
                  <w:b/>
                  <w:bCs/>
                  <w:sz w:val="26"/>
                  <w:szCs w:val="26"/>
                  <w:u w:val="single"/>
                </w:rPr>
                <w:t>updated service specification</w:t>
              </w:r>
            </w:hyperlink>
            <w:r w:rsidRPr="003F26BD">
              <w:rPr>
                <w:rFonts w:cstheme="minorHAnsi"/>
                <w:sz w:val="26"/>
                <w:szCs w:val="26"/>
              </w:rPr>
              <w:t> and claims need to be made via the NHSBSA’s Manage Your Service portal by 5th July 2021.</w:t>
            </w:r>
          </w:p>
          <w:p w14:paraId="2D9AC480" w14:textId="77777777" w:rsidR="003F26BD" w:rsidRDefault="003F26BD" w:rsidP="002E431C">
            <w:pPr>
              <w:rPr>
                <w:rStyle w:val="Hyperlink"/>
              </w:rPr>
            </w:pPr>
          </w:p>
          <w:p w14:paraId="0240EE48" w14:textId="41269215" w:rsidR="00507638" w:rsidRPr="00507638" w:rsidRDefault="00507638" w:rsidP="002E431C">
            <w:pPr>
              <w:rPr>
                <w:b/>
                <w:bCs/>
                <w:color w:val="FF0000"/>
                <w:sz w:val="26"/>
                <w:szCs w:val="26"/>
              </w:rPr>
            </w:pPr>
            <w:r w:rsidRPr="00507638">
              <w:rPr>
                <w:rStyle w:val="Hyperlink"/>
                <w:b/>
                <w:bCs/>
                <w:color w:val="FF0000"/>
                <w:sz w:val="26"/>
                <w:szCs w:val="26"/>
                <w:u w:val="none"/>
              </w:rPr>
              <w:t>Your LPC is working with the NHSE&amp;I regional team, NHS Devon CCG</w:t>
            </w:r>
            <w:r w:rsidR="00860581">
              <w:rPr>
                <w:rStyle w:val="Hyperlink"/>
                <w:b/>
                <w:bCs/>
                <w:color w:val="FF0000"/>
                <w:sz w:val="26"/>
                <w:szCs w:val="26"/>
                <w:u w:val="none"/>
              </w:rPr>
              <w:t>, the LMC</w:t>
            </w:r>
            <w:r w:rsidRPr="00507638">
              <w:rPr>
                <w:rStyle w:val="Hyperlink"/>
                <w:b/>
                <w:bCs/>
                <w:color w:val="FF0000"/>
                <w:sz w:val="26"/>
                <w:szCs w:val="26"/>
                <w:u w:val="none"/>
              </w:rPr>
              <w:t xml:space="preserve"> and GP network to agree a shared plan to get the service switched on in Devon ASAP</w:t>
            </w:r>
            <w:r w:rsidR="00FB5F21">
              <w:rPr>
                <w:rStyle w:val="Hyperlink"/>
                <w:b/>
                <w:bCs/>
                <w:color w:val="FF0000"/>
                <w:sz w:val="26"/>
                <w:szCs w:val="26"/>
                <w:u w:val="none"/>
              </w:rPr>
              <w:t xml:space="preserve"> which will include </w:t>
            </w:r>
            <w:r w:rsidR="003F26BD">
              <w:rPr>
                <w:rStyle w:val="Hyperlink"/>
                <w:b/>
                <w:bCs/>
                <w:color w:val="FF0000"/>
                <w:sz w:val="26"/>
                <w:szCs w:val="26"/>
                <w:u w:val="none"/>
              </w:rPr>
              <w:t xml:space="preserve">arranging </w:t>
            </w:r>
            <w:r w:rsidR="00FB5F21">
              <w:rPr>
                <w:rStyle w:val="Hyperlink"/>
                <w:b/>
                <w:bCs/>
                <w:color w:val="FF0000"/>
                <w:sz w:val="26"/>
                <w:szCs w:val="26"/>
                <w:u w:val="none"/>
              </w:rPr>
              <w:t>local engagement session</w:t>
            </w:r>
            <w:r w:rsidR="003F26BD">
              <w:rPr>
                <w:rStyle w:val="Hyperlink"/>
                <w:b/>
                <w:bCs/>
                <w:color w:val="FF0000"/>
                <w:sz w:val="26"/>
                <w:szCs w:val="26"/>
                <w:u w:val="none"/>
              </w:rPr>
              <w:t xml:space="preserve">s.  </w:t>
            </w:r>
            <w:hyperlink r:id="rId27" w:history="1">
              <w:r w:rsidR="003F26BD" w:rsidRPr="003F26BD">
                <w:rPr>
                  <w:rStyle w:val="Hyperlink"/>
                  <w:b/>
                  <w:bCs/>
                  <w:sz w:val="26"/>
                  <w:szCs w:val="26"/>
                </w:rPr>
                <w:t>Next dates</w:t>
              </w:r>
            </w:hyperlink>
            <w:r w:rsidR="003F26BD">
              <w:rPr>
                <w:rStyle w:val="Hyperlink"/>
                <w:b/>
                <w:bCs/>
                <w:color w:val="FF0000"/>
                <w:sz w:val="26"/>
                <w:szCs w:val="26"/>
                <w:u w:val="none"/>
              </w:rPr>
              <w:t xml:space="preserve"> for our sessions are Tuesday 2</w:t>
            </w:r>
            <w:r w:rsidR="003F26BD" w:rsidRPr="003F26BD">
              <w:rPr>
                <w:rStyle w:val="Hyperlink"/>
                <w:b/>
                <w:bCs/>
                <w:color w:val="FF0000"/>
                <w:sz w:val="26"/>
                <w:szCs w:val="26"/>
                <w:u w:val="none"/>
                <w:vertAlign w:val="superscript"/>
              </w:rPr>
              <w:t>nd</w:t>
            </w:r>
            <w:r w:rsidR="003F26BD">
              <w:rPr>
                <w:rStyle w:val="Hyperlink"/>
                <w:b/>
                <w:bCs/>
                <w:color w:val="FF0000"/>
                <w:sz w:val="26"/>
                <w:szCs w:val="26"/>
                <w:u w:val="none"/>
              </w:rPr>
              <w:t xml:space="preserve"> March 2021 and Thursday 11</w:t>
            </w:r>
            <w:r w:rsidR="003F26BD" w:rsidRPr="003F26BD">
              <w:rPr>
                <w:rStyle w:val="Hyperlink"/>
                <w:b/>
                <w:bCs/>
                <w:color w:val="FF0000"/>
                <w:sz w:val="26"/>
                <w:szCs w:val="26"/>
                <w:u w:val="none"/>
                <w:vertAlign w:val="superscript"/>
              </w:rPr>
              <w:t>th</w:t>
            </w:r>
            <w:r w:rsidR="003F26BD">
              <w:rPr>
                <w:rStyle w:val="Hyperlink"/>
                <w:b/>
                <w:bCs/>
                <w:color w:val="FF0000"/>
                <w:sz w:val="26"/>
                <w:szCs w:val="26"/>
                <w:u w:val="none"/>
              </w:rPr>
              <w:t xml:space="preserve"> March 2021.  </w:t>
            </w:r>
          </w:p>
        </w:tc>
        <w:tc>
          <w:tcPr>
            <w:tcW w:w="850" w:type="dxa"/>
          </w:tcPr>
          <w:p w14:paraId="1001ECAB" w14:textId="77777777" w:rsidR="001F5DD9" w:rsidRDefault="001F5DD9" w:rsidP="002E431C">
            <w:pPr>
              <w:spacing w:after="120"/>
              <w:rPr>
                <w:b/>
                <w:color w:val="0070C0"/>
                <w:sz w:val="26"/>
                <w:szCs w:val="26"/>
              </w:rPr>
            </w:pPr>
          </w:p>
        </w:tc>
      </w:tr>
      <w:tr w:rsidR="00D85827" w:rsidRPr="00D85827" w14:paraId="230C0825" w14:textId="77777777" w:rsidTr="002A03DA">
        <w:tc>
          <w:tcPr>
            <w:tcW w:w="2694" w:type="dxa"/>
          </w:tcPr>
          <w:p w14:paraId="47214E3B" w14:textId="3DD8FA81" w:rsidR="002E431C" w:rsidRPr="00D85827" w:rsidRDefault="004D0793" w:rsidP="002E431C">
            <w:pPr>
              <w:spacing w:after="120"/>
              <w:rPr>
                <w:b/>
                <w:sz w:val="26"/>
                <w:szCs w:val="26"/>
              </w:rPr>
            </w:pPr>
            <w:r w:rsidRPr="00D85827">
              <w:rPr>
                <w:b/>
                <w:sz w:val="26"/>
                <w:szCs w:val="26"/>
              </w:rPr>
              <w:t>Virtual Outcomes</w:t>
            </w:r>
          </w:p>
        </w:tc>
        <w:tc>
          <w:tcPr>
            <w:tcW w:w="7371" w:type="dxa"/>
          </w:tcPr>
          <w:p w14:paraId="0BA9AF8F" w14:textId="7557A2C5" w:rsidR="00D85827" w:rsidRDefault="00D85827" w:rsidP="00D85827">
            <w:pPr>
              <w:pStyle w:val="NoSpacing"/>
              <w:rPr>
                <w:sz w:val="26"/>
                <w:szCs w:val="26"/>
              </w:rPr>
            </w:pPr>
            <w:r w:rsidRPr="00D85827">
              <w:rPr>
                <w:sz w:val="26"/>
                <w:szCs w:val="26"/>
              </w:rPr>
              <w:t xml:space="preserve">New modules are released every month and are </w:t>
            </w:r>
            <w:r w:rsidRPr="00B52E85">
              <w:rPr>
                <w:color w:val="FF0000"/>
                <w:sz w:val="26"/>
                <w:szCs w:val="26"/>
              </w:rPr>
              <w:t>currently free to Devon community pharmacies</w:t>
            </w:r>
            <w:hyperlink r:id="rId28" w:history="1">
              <w:r w:rsidRPr="00D85827">
                <w:rPr>
                  <w:rStyle w:val="Hyperlink"/>
                  <w:color w:val="auto"/>
                  <w:sz w:val="26"/>
                  <w:szCs w:val="26"/>
                </w:rPr>
                <w:t>.</w:t>
              </w:r>
              <w:r w:rsidR="0060298C">
                <w:rPr>
                  <w:rStyle w:val="Hyperlink"/>
                  <w:color w:val="auto"/>
                  <w:sz w:val="26"/>
                  <w:szCs w:val="26"/>
                </w:rPr>
                <w:t xml:space="preserve"> </w:t>
              </w:r>
              <w:r w:rsidRPr="00D85827">
                <w:rPr>
                  <w:rStyle w:val="Hyperlink"/>
                  <w:color w:val="auto"/>
                  <w:sz w:val="26"/>
                  <w:szCs w:val="26"/>
                </w:rPr>
                <w:t>Brief training webinars</w:t>
              </w:r>
            </w:hyperlink>
            <w:r w:rsidRPr="00D85827">
              <w:rPr>
                <w:sz w:val="26"/>
                <w:szCs w:val="26"/>
              </w:rPr>
              <w:t xml:space="preserve"> are available for all members of the </w:t>
            </w:r>
            <w:r w:rsidR="00B52E85">
              <w:rPr>
                <w:sz w:val="26"/>
                <w:szCs w:val="26"/>
              </w:rPr>
              <w:t xml:space="preserve">Devon </w:t>
            </w:r>
            <w:r w:rsidRPr="00D85827">
              <w:rPr>
                <w:sz w:val="26"/>
                <w:szCs w:val="26"/>
              </w:rPr>
              <w:t xml:space="preserve">pharmacy teams. </w:t>
            </w:r>
          </w:p>
          <w:p w14:paraId="0FF0D921" w14:textId="77777777" w:rsidR="00D85827" w:rsidRPr="00D85827" w:rsidRDefault="00D85827" w:rsidP="00D85827">
            <w:pPr>
              <w:pStyle w:val="NoSpacing"/>
              <w:rPr>
                <w:sz w:val="26"/>
                <w:szCs w:val="26"/>
              </w:rPr>
            </w:pPr>
          </w:p>
          <w:p w14:paraId="63C2FCC8" w14:textId="0FB01B10" w:rsidR="002E431C" w:rsidRPr="00D85827" w:rsidRDefault="00D85827" w:rsidP="00D85827">
            <w:pPr>
              <w:pStyle w:val="NoSpacing"/>
              <w:rPr>
                <w:sz w:val="26"/>
                <w:szCs w:val="26"/>
              </w:rPr>
            </w:pPr>
            <w:r w:rsidRPr="00D85827">
              <w:rPr>
                <w:sz w:val="26"/>
                <w:szCs w:val="26"/>
              </w:rPr>
              <w:lastRenderedPageBreak/>
              <w:t xml:space="preserve">A complete support package has recently been launched for the </w:t>
            </w:r>
            <w:hyperlink r:id="rId29" w:history="1">
              <w:r w:rsidRPr="00FB5F21">
                <w:rPr>
                  <w:rStyle w:val="Hyperlink"/>
                  <w:sz w:val="26"/>
                  <w:szCs w:val="26"/>
                </w:rPr>
                <w:t>NHS community pharmacist consultation service</w:t>
              </w:r>
            </w:hyperlink>
            <w:r w:rsidRPr="00D85827">
              <w:rPr>
                <w:sz w:val="26"/>
                <w:szCs w:val="26"/>
              </w:rPr>
              <w:t xml:space="preserve"> (NHS111 and GP referrals)</w:t>
            </w:r>
            <w:r w:rsidR="003F26BD">
              <w:rPr>
                <w:sz w:val="26"/>
                <w:szCs w:val="26"/>
              </w:rPr>
              <w:t xml:space="preserve"> and for the </w:t>
            </w:r>
            <w:hyperlink r:id="rId30" w:history="1">
              <w:r w:rsidR="003F26BD" w:rsidRPr="003F26BD">
                <w:rPr>
                  <w:rStyle w:val="Hyperlink"/>
                  <w:sz w:val="26"/>
                  <w:szCs w:val="26"/>
                </w:rPr>
                <w:t>Discharge Medicines Service</w:t>
              </w:r>
            </w:hyperlink>
          </w:p>
        </w:tc>
        <w:tc>
          <w:tcPr>
            <w:tcW w:w="850" w:type="dxa"/>
          </w:tcPr>
          <w:p w14:paraId="4A686C35" w14:textId="77777777" w:rsidR="002E431C" w:rsidRPr="00D85827" w:rsidRDefault="002E431C" w:rsidP="002E431C">
            <w:pPr>
              <w:spacing w:after="120"/>
              <w:rPr>
                <w:b/>
                <w:sz w:val="26"/>
                <w:szCs w:val="26"/>
              </w:rPr>
            </w:pPr>
          </w:p>
        </w:tc>
      </w:tr>
    </w:tbl>
    <w:p w14:paraId="21CFE1FD" w14:textId="77777777" w:rsidR="003F1267" w:rsidRPr="00D85827" w:rsidRDefault="003F1267" w:rsidP="00EB5932">
      <w:pPr>
        <w:spacing w:before="120" w:after="80"/>
        <w:rPr>
          <w:b/>
          <w:i/>
          <w:iCs/>
          <w:sz w:val="26"/>
          <w:szCs w:val="26"/>
        </w:rPr>
      </w:pPr>
    </w:p>
    <w:p w14:paraId="657A4A1E" w14:textId="77777777" w:rsidR="003F1267" w:rsidRDefault="003F1267" w:rsidP="00EB5932">
      <w:pPr>
        <w:spacing w:before="120" w:after="80"/>
        <w:rPr>
          <w:b/>
          <w:i/>
          <w:iCs/>
          <w:color w:val="0070C0"/>
          <w:sz w:val="26"/>
          <w:szCs w:val="26"/>
        </w:rPr>
      </w:pPr>
    </w:p>
    <w:p w14:paraId="78017405" w14:textId="18735F31" w:rsidR="003F1267" w:rsidRPr="003F1267" w:rsidRDefault="003F1267" w:rsidP="00EB5932">
      <w:pPr>
        <w:spacing w:before="120" w:after="80"/>
        <w:rPr>
          <w:b/>
          <w:i/>
          <w:iCs/>
          <w:color w:val="0070C0"/>
        </w:rPr>
      </w:pPr>
      <w:r w:rsidRPr="003F1267">
        <w:rPr>
          <w:b/>
          <w:i/>
          <w:iCs/>
          <w:color w:val="0070C0"/>
        </w:rPr>
        <w:t xml:space="preserve">Disclaimer:  This guidance has been produced by Devon LPC after reviewing all the information available to us.  Every care has been taken in completion of the tracker, but no responsibility can be accepted for any error or consequence of such an error. </w:t>
      </w:r>
    </w:p>
    <w:p w14:paraId="506B901D" w14:textId="77777777" w:rsidR="003F1267" w:rsidRDefault="003F1267" w:rsidP="00EB5932">
      <w:pPr>
        <w:spacing w:before="120" w:after="80"/>
        <w:rPr>
          <w:b/>
          <w:i/>
          <w:iCs/>
          <w:color w:val="0070C0"/>
          <w:sz w:val="26"/>
          <w:szCs w:val="26"/>
        </w:rPr>
      </w:pPr>
    </w:p>
    <w:p w14:paraId="5B755B70" w14:textId="1746F0B6" w:rsidR="00CB1004" w:rsidRDefault="00A52F34" w:rsidP="00EB5932">
      <w:pPr>
        <w:spacing w:before="120" w:after="80"/>
        <w:rPr>
          <w:rStyle w:val="Hyperlink"/>
          <w:b/>
          <w:i/>
          <w:iCs/>
          <w:sz w:val="26"/>
          <w:szCs w:val="26"/>
        </w:rPr>
      </w:pPr>
      <w:r>
        <w:rPr>
          <w:b/>
          <w:i/>
          <w:iCs/>
          <w:color w:val="0070C0"/>
          <w:sz w:val="26"/>
          <w:szCs w:val="26"/>
        </w:rPr>
        <w:t xml:space="preserve">For further advice and support from the Devon LPC please contact us by email </w:t>
      </w:r>
      <w:hyperlink r:id="rId31" w:history="1">
        <w:r w:rsidRPr="00252D10">
          <w:rPr>
            <w:rStyle w:val="Hyperlink"/>
            <w:b/>
            <w:i/>
            <w:iCs/>
            <w:sz w:val="26"/>
            <w:szCs w:val="26"/>
          </w:rPr>
          <w:t>admin@devonlpc.org</w:t>
        </w:r>
      </w:hyperlink>
      <w:r>
        <w:rPr>
          <w:b/>
          <w:i/>
          <w:iCs/>
          <w:color w:val="0070C0"/>
          <w:sz w:val="26"/>
          <w:szCs w:val="26"/>
        </w:rPr>
        <w:t xml:space="preserve"> or call on 0</w:t>
      </w:r>
      <w:r w:rsidR="003F1267">
        <w:rPr>
          <w:b/>
          <w:i/>
          <w:iCs/>
          <w:color w:val="0070C0"/>
          <w:sz w:val="26"/>
          <w:szCs w:val="26"/>
        </w:rPr>
        <w:t>1392 834022</w:t>
      </w:r>
      <w:r>
        <w:rPr>
          <w:b/>
          <w:i/>
          <w:iCs/>
          <w:color w:val="0070C0"/>
          <w:sz w:val="26"/>
          <w:szCs w:val="26"/>
        </w:rPr>
        <w:t xml:space="preserve">.  Direct message on Twitter @DevonLPC or visit our website </w:t>
      </w:r>
      <w:hyperlink r:id="rId32" w:history="1">
        <w:r w:rsidRPr="00EB5932">
          <w:rPr>
            <w:rStyle w:val="Hyperlink"/>
            <w:b/>
            <w:i/>
            <w:iCs/>
            <w:sz w:val="26"/>
            <w:szCs w:val="26"/>
          </w:rPr>
          <w:t>https: www.devonlpc.org</w:t>
        </w:r>
      </w:hyperlink>
    </w:p>
    <w:p w14:paraId="178D23E7" w14:textId="1CA707B9" w:rsidR="00FB5F21" w:rsidRDefault="00FB5F21" w:rsidP="00EB5932">
      <w:pPr>
        <w:spacing w:before="120" w:after="80"/>
        <w:rPr>
          <w:rStyle w:val="Hyperlink"/>
          <w:b/>
          <w:i/>
          <w:iCs/>
          <w:sz w:val="26"/>
          <w:szCs w:val="26"/>
        </w:rPr>
      </w:pPr>
    </w:p>
    <w:p w14:paraId="4EDFFD87" w14:textId="63EAA066" w:rsidR="00FB5F21" w:rsidRPr="00EB5932" w:rsidRDefault="00FB5F21" w:rsidP="00EB5932">
      <w:pPr>
        <w:spacing w:before="120" w:after="80"/>
        <w:rPr>
          <w:b/>
          <w:i/>
          <w:iCs/>
          <w:color w:val="0070C0"/>
          <w:sz w:val="26"/>
          <w:szCs w:val="26"/>
        </w:rPr>
      </w:pPr>
      <w:r>
        <w:rPr>
          <w:rStyle w:val="Hyperlink"/>
          <w:b/>
          <w:i/>
          <w:iCs/>
          <w:sz w:val="26"/>
          <w:szCs w:val="26"/>
        </w:rPr>
        <w:t>Please encourage your locums and the rest of your pharmacy team to join the Devon LPC mailing list to ensure they are up to date with new guidance and updates in the rapidly changing pharmacy environment.</w:t>
      </w:r>
    </w:p>
    <w:sectPr w:rsidR="00FB5F21" w:rsidRPr="00EB5932" w:rsidSect="008C4908">
      <w:headerReference w:type="default" r:id="rId33"/>
      <w:footerReference w:type="default" r:id="rId34"/>
      <w:pgSz w:w="11906" w:h="16838"/>
      <w:pgMar w:top="678" w:right="709" w:bottom="1440"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C9025" w14:textId="77777777" w:rsidR="00CB1004" w:rsidRDefault="00CB1004" w:rsidP="00CB1004">
      <w:pPr>
        <w:spacing w:after="0" w:line="240" w:lineRule="auto"/>
      </w:pPr>
      <w:r>
        <w:separator/>
      </w:r>
    </w:p>
  </w:endnote>
  <w:endnote w:type="continuationSeparator" w:id="0">
    <w:p w14:paraId="14267F16" w14:textId="77777777" w:rsidR="00CB1004" w:rsidRDefault="00CB1004" w:rsidP="00CB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60990"/>
      <w:docPartObj>
        <w:docPartGallery w:val="Page Numbers (Bottom of Page)"/>
        <w:docPartUnique/>
      </w:docPartObj>
    </w:sdtPr>
    <w:sdtEndPr/>
    <w:sdtContent>
      <w:sdt>
        <w:sdtPr>
          <w:id w:val="98381352"/>
          <w:docPartObj>
            <w:docPartGallery w:val="Page Numbers (Top of Page)"/>
            <w:docPartUnique/>
          </w:docPartObj>
        </w:sdtPr>
        <w:sdtEndPr/>
        <w:sdtContent>
          <w:p w14:paraId="386EC525" w14:textId="77777777" w:rsidR="009151F7" w:rsidRDefault="009151F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48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85A">
              <w:rPr>
                <w:b/>
                <w:bCs/>
                <w:noProof/>
              </w:rPr>
              <w:t>3</w:t>
            </w:r>
            <w:r>
              <w:rPr>
                <w:b/>
                <w:bCs/>
                <w:sz w:val="24"/>
                <w:szCs w:val="24"/>
              </w:rPr>
              <w:fldChar w:fldCharType="end"/>
            </w:r>
          </w:p>
        </w:sdtContent>
      </w:sdt>
    </w:sdtContent>
  </w:sdt>
  <w:p w14:paraId="0C8DDFCE" w14:textId="77777777" w:rsidR="009151F7" w:rsidRDefault="00915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1C921" w14:textId="77777777" w:rsidR="00CB1004" w:rsidRDefault="00CB1004" w:rsidP="00CB1004">
      <w:pPr>
        <w:spacing w:after="0" w:line="240" w:lineRule="auto"/>
      </w:pPr>
      <w:r>
        <w:separator/>
      </w:r>
    </w:p>
  </w:footnote>
  <w:footnote w:type="continuationSeparator" w:id="0">
    <w:p w14:paraId="10D6E66F" w14:textId="77777777" w:rsidR="00CB1004" w:rsidRDefault="00CB1004" w:rsidP="00CB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14A4" w14:textId="77777777" w:rsidR="00CB1004" w:rsidRDefault="00CB1004">
    <w:pPr>
      <w:pStyle w:val="Header"/>
    </w:pPr>
    <w:r>
      <w:rPr>
        <w:noProof/>
        <w:lang w:eastAsia="en-GB"/>
      </w:rPr>
      <w:drawing>
        <wp:inline distT="0" distB="0" distL="0" distR="0" wp14:anchorId="7D454E2C" wp14:editId="66D4F4C7">
          <wp:extent cx="1323810" cy="5047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LPC Logo Twitter.png"/>
                  <pic:cNvPicPr/>
                </pic:nvPicPr>
                <pic:blipFill>
                  <a:blip r:embed="rId1">
                    <a:extLst>
                      <a:ext uri="{28A0092B-C50C-407E-A947-70E740481C1C}">
                        <a14:useLocalDpi xmlns:a14="http://schemas.microsoft.com/office/drawing/2010/main" val="0"/>
                      </a:ext>
                    </a:extLst>
                  </a:blip>
                  <a:stretch>
                    <a:fillRect/>
                  </a:stretch>
                </pic:blipFill>
                <pic:spPr>
                  <a:xfrm>
                    <a:off x="0" y="0"/>
                    <a:ext cx="1323810" cy="504762"/>
                  </a:xfrm>
                  <a:prstGeom prst="rect">
                    <a:avLst/>
                  </a:prstGeom>
                </pic:spPr>
              </pic:pic>
            </a:graphicData>
          </a:graphic>
        </wp:inline>
      </w:drawing>
    </w:r>
    <w:r>
      <w:t xml:space="preserve">                                                                                                                                                                                                         </w:t>
    </w:r>
    <w:r>
      <w:rPr>
        <w:noProof/>
        <w:lang w:eastAsia="en-GB"/>
      </w:rPr>
      <w:drawing>
        <wp:inline distT="0" distB="0" distL="0" distR="0" wp14:anchorId="12BF6DCF" wp14:editId="54E446CF">
          <wp:extent cx="988828" cy="548261"/>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_logo_colour_cropped.jpg"/>
                  <pic:cNvPicPr/>
                </pic:nvPicPr>
                <pic:blipFill>
                  <a:blip r:embed="rId2">
                    <a:extLst>
                      <a:ext uri="{28A0092B-C50C-407E-A947-70E740481C1C}">
                        <a14:useLocalDpi xmlns:a14="http://schemas.microsoft.com/office/drawing/2010/main" val="0"/>
                      </a:ext>
                    </a:extLst>
                  </a:blip>
                  <a:stretch>
                    <a:fillRect/>
                  </a:stretch>
                </pic:blipFill>
                <pic:spPr>
                  <a:xfrm>
                    <a:off x="0" y="0"/>
                    <a:ext cx="995316" cy="5518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D81160E"/>
    <w:multiLevelType w:val="hybridMultilevel"/>
    <w:tmpl w:val="DE1DA9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DA2C8"/>
    <w:multiLevelType w:val="hybridMultilevel"/>
    <w:tmpl w:val="E3A90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710EDB"/>
    <w:multiLevelType w:val="hybridMultilevel"/>
    <w:tmpl w:val="33DE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EB59D"/>
    <w:multiLevelType w:val="hybridMultilevel"/>
    <w:tmpl w:val="F79B7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1A69E5"/>
    <w:multiLevelType w:val="hybridMultilevel"/>
    <w:tmpl w:val="85C0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61C56"/>
    <w:multiLevelType w:val="hybridMultilevel"/>
    <w:tmpl w:val="E782247E"/>
    <w:lvl w:ilvl="0" w:tplc="4204E048">
      <w:numFmt w:val="bullet"/>
      <w:lvlText w:val="-"/>
      <w:lvlJc w:val="left"/>
      <w:pPr>
        <w:ind w:left="720" w:hanging="360"/>
      </w:pPr>
      <w:rPr>
        <w:rFonts w:ascii="Calibri" w:eastAsiaTheme="minorHAns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F6F3E"/>
    <w:multiLevelType w:val="multilevel"/>
    <w:tmpl w:val="D4B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A228E"/>
    <w:multiLevelType w:val="multilevel"/>
    <w:tmpl w:val="C5B0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791913"/>
    <w:multiLevelType w:val="hybridMultilevel"/>
    <w:tmpl w:val="5978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537E6"/>
    <w:multiLevelType w:val="hybridMultilevel"/>
    <w:tmpl w:val="600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11533"/>
    <w:multiLevelType w:val="hybridMultilevel"/>
    <w:tmpl w:val="01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250512"/>
    <w:multiLevelType w:val="hybridMultilevel"/>
    <w:tmpl w:val="4504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E5075"/>
    <w:multiLevelType w:val="hybridMultilevel"/>
    <w:tmpl w:val="C224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7"/>
  </w:num>
  <w:num w:numId="5">
    <w:abstractNumId w:val="6"/>
  </w:num>
  <w:num w:numId="6">
    <w:abstractNumId w:val="5"/>
  </w:num>
  <w:num w:numId="7">
    <w:abstractNumId w:val="3"/>
  </w:num>
  <w:num w:numId="8">
    <w:abstractNumId w:val="12"/>
  </w:num>
  <w:num w:numId="9">
    <w:abstractNumId w:val="1"/>
  </w:num>
  <w:num w:numId="10">
    <w:abstractNumId w:val="9"/>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04"/>
    <w:rsid w:val="00013279"/>
    <w:rsid w:val="00017664"/>
    <w:rsid w:val="00085C5F"/>
    <w:rsid w:val="000A143C"/>
    <w:rsid w:val="000A643C"/>
    <w:rsid w:val="000D6F0E"/>
    <w:rsid w:val="00113A7A"/>
    <w:rsid w:val="00120AE9"/>
    <w:rsid w:val="0013044B"/>
    <w:rsid w:val="0014274C"/>
    <w:rsid w:val="0014349E"/>
    <w:rsid w:val="00146F58"/>
    <w:rsid w:val="0016628A"/>
    <w:rsid w:val="00166D02"/>
    <w:rsid w:val="00197825"/>
    <w:rsid w:val="001D061C"/>
    <w:rsid w:val="001E7DC1"/>
    <w:rsid w:val="001F5DD9"/>
    <w:rsid w:val="0021293E"/>
    <w:rsid w:val="002503CF"/>
    <w:rsid w:val="002A03DA"/>
    <w:rsid w:val="002B326E"/>
    <w:rsid w:val="002C4CFF"/>
    <w:rsid w:val="002E431C"/>
    <w:rsid w:val="002F039E"/>
    <w:rsid w:val="002F66E4"/>
    <w:rsid w:val="0034031E"/>
    <w:rsid w:val="003638EE"/>
    <w:rsid w:val="00381423"/>
    <w:rsid w:val="003853A1"/>
    <w:rsid w:val="00386031"/>
    <w:rsid w:val="00394AFF"/>
    <w:rsid w:val="00396AF1"/>
    <w:rsid w:val="003A019C"/>
    <w:rsid w:val="003B0F64"/>
    <w:rsid w:val="003B50EA"/>
    <w:rsid w:val="003E2DD0"/>
    <w:rsid w:val="003F0B21"/>
    <w:rsid w:val="003F1267"/>
    <w:rsid w:val="003F26BD"/>
    <w:rsid w:val="004019C9"/>
    <w:rsid w:val="00404270"/>
    <w:rsid w:val="00415FE4"/>
    <w:rsid w:val="0041659B"/>
    <w:rsid w:val="0044030D"/>
    <w:rsid w:val="00483559"/>
    <w:rsid w:val="004979C6"/>
    <w:rsid w:val="004C6249"/>
    <w:rsid w:val="004D0793"/>
    <w:rsid w:val="004D33A7"/>
    <w:rsid w:val="004E3F4E"/>
    <w:rsid w:val="00507638"/>
    <w:rsid w:val="0052606B"/>
    <w:rsid w:val="00535C9A"/>
    <w:rsid w:val="00543171"/>
    <w:rsid w:val="005519B3"/>
    <w:rsid w:val="00593181"/>
    <w:rsid w:val="005A4C94"/>
    <w:rsid w:val="005A6A0D"/>
    <w:rsid w:val="005C75EF"/>
    <w:rsid w:val="005E7427"/>
    <w:rsid w:val="0060298C"/>
    <w:rsid w:val="00604590"/>
    <w:rsid w:val="00620E45"/>
    <w:rsid w:val="00653163"/>
    <w:rsid w:val="0066485A"/>
    <w:rsid w:val="006D6AB2"/>
    <w:rsid w:val="006E76CD"/>
    <w:rsid w:val="00715443"/>
    <w:rsid w:val="00731050"/>
    <w:rsid w:val="007319D6"/>
    <w:rsid w:val="00750606"/>
    <w:rsid w:val="00756F90"/>
    <w:rsid w:val="00793B09"/>
    <w:rsid w:val="00795B06"/>
    <w:rsid w:val="007A7F7C"/>
    <w:rsid w:val="007B4D8B"/>
    <w:rsid w:val="007F6344"/>
    <w:rsid w:val="00831507"/>
    <w:rsid w:val="00836C0D"/>
    <w:rsid w:val="0084669C"/>
    <w:rsid w:val="008537BC"/>
    <w:rsid w:val="00860581"/>
    <w:rsid w:val="008670C4"/>
    <w:rsid w:val="00875977"/>
    <w:rsid w:val="00875B75"/>
    <w:rsid w:val="00881022"/>
    <w:rsid w:val="00885CB1"/>
    <w:rsid w:val="008863E5"/>
    <w:rsid w:val="008C4908"/>
    <w:rsid w:val="008D0D65"/>
    <w:rsid w:val="008D2C05"/>
    <w:rsid w:val="009151F7"/>
    <w:rsid w:val="009248FB"/>
    <w:rsid w:val="009318AD"/>
    <w:rsid w:val="00960A89"/>
    <w:rsid w:val="009C0281"/>
    <w:rsid w:val="009D7256"/>
    <w:rsid w:val="00A00D16"/>
    <w:rsid w:val="00A0124A"/>
    <w:rsid w:val="00A31812"/>
    <w:rsid w:val="00A46570"/>
    <w:rsid w:val="00A51A2C"/>
    <w:rsid w:val="00A52F34"/>
    <w:rsid w:val="00A5791D"/>
    <w:rsid w:val="00A75F3D"/>
    <w:rsid w:val="00A9442A"/>
    <w:rsid w:val="00AB0515"/>
    <w:rsid w:val="00AC785E"/>
    <w:rsid w:val="00AD7041"/>
    <w:rsid w:val="00B02755"/>
    <w:rsid w:val="00B02F5C"/>
    <w:rsid w:val="00B07F6C"/>
    <w:rsid w:val="00B144C7"/>
    <w:rsid w:val="00B52E85"/>
    <w:rsid w:val="00B5588B"/>
    <w:rsid w:val="00B70340"/>
    <w:rsid w:val="00BA00E7"/>
    <w:rsid w:val="00BB2416"/>
    <w:rsid w:val="00C02B25"/>
    <w:rsid w:val="00C07BEA"/>
    <w:rsid w:val="00C1108D"/>
    <w:rsid w:val="00C134CF"/>
    <w:rsid w:val="00C13831"/>
    <w:rsid w:val="00C146F1"/>
    <w:rsid w:val="00C14F8F"/>
    <w:rsid w:val="00C17A19"/>
    <w:rsid w:val="00C2368D"/>
    <w:rsid w:val="00C254D9"/>
    <w:rsid w:val="00C74289"/>
    <w:rsid w:val="00C75919"/>
    <w:rsid w:val="00C94F97"/>
    <w:rsid w:val="00CA2AE8"/>
    <w:rsid w:val="00CB1004"/>
    <w:rsid w:val="00CE4F49"/>
    <w:rsid w:val="00D348E1"/>
    <w:rsid w:val="00D4592C"/>
    <w:rsid w:val="00D72EFC"/>
    <w:rsid w:val="00D73026"/>
    <w:rsid w:val="00D73BEC"/>
    <w:rsid w:val="00D85827"/>
    <w:rsid w:val="00D92701"/>
    <w:rsid w:val="00DB12B5"/>
    <w:rsid w:val="00DB1912"/>
    <w:rsid w:val="00DE0B12"/>
    <w:rsid w:val="00DE11EF"/>
    <w:rsid w:val="00DE2CFB"/>
    <w:rsid w:val="00E03E2C"/>
    <w:rsid w:val="00E1002E"/>
    <w:rsid w:val="00E32D18"/>
    <w:rsid w:val="00E75702"/>
    <w:rsid w:val="00E81964"/>
    <w:rsid w:val="00EA4654"/>
    <w:rsid w:val="00EB32E6"/>
    <w:rsid w:val="00EB5932"/>
    <w:rsid w:val="00EE64AC"/>
    <w:rsid w:val="00EE7C92"/>
    <w:rsid w:val="00EF364C"/>
    <w:rsid w:val="00EF6C91"/>
    <w:rsid w:val="00F36E07"/>
    <w:rsid w:val="00F411D8"/>
    <w:rsid w:val="00F439E3"/>
    <w:rsid w:val="00F46006"/>
    <w:rsid w:val="00F46F38"/>
    <w:rsid w:val="00F478CB"/>
    <w:rsid w:val="00F556FC"/>
    <w:rsid w:val="00F7053E"/>
    <w:rsid w:val="00F720F5"/>
    <w:rsid w:val="00F905EA"/>
    <w:rsid w:val="00FB1180"/>
    <w:rsid w:val="00FB5F21"/>
    <w:rsid w:val="00FE25E4"/>
    <w:rsid w:val="00FF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8966C8F"/>
  <w15:docId w15:val="{090C82AB-170B-4940-8AD5-E403D47F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04"/>
  </w:style>
  <w:style w:type="paragraph" w:styleId="Footer">
    <w:name w:val="footer"/>
    <w:basedOn w:val="Normal"/>
    <w:link w:val="FooterChar"/>
    <w:uiPriority w:val="99"/>
    <w:unhideWhenUsed/>
    <w:rsid w:val="00CB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04"/>
  </w:style>
  <w:style w:type="paragraph" w:styleId="BalloonText">
    <w:name w:val="Balloon Text"/>
    <w:basedOn w:val="Normal"/>
    <w:link w:val="BalloonTextChar"/>
    <w:uiPriority w:val="99"/>
    <w:semiHidden/>
    <w:unhideWhenUsed/>
    <w:rsid w:val="00CB1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04"/>
    <w:rPr>
      <w:rFonts w:ascii="Tahoma" w:hAnsi="Tahoma" w:cs="Tahoma"/>
      <w:sz w:val="16"/>
      <w:szCs w:val="16"/>
    </w:rPr>
  </w:style>
  <w:style w:type="table" w:styleId="TableGrid">
    <w:name w:val="Table Grid"/>
    <w:basedOn w:val="TableNormal"/>
    <w:uiPriority w:val="59"/>
    <w:rsid w:val="00CB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27"/>
    <w:rPr>
      <w:color w:val="0000FF" w:themeColor="hyperlink"/>
      <w:u w:val="single"/>
    </w:rPr>
  </w:style>
  <w:style w:type="paragraph" w:styleId="ListParagraph">
    <w:name w:val="List Paragraph"/>
    <w:basedOn w:val="Normal"/>
    <w:uiPriority w:val="34"/>
    <w:qFormat/>
    <w:rsid w:val="005E7427"/>
    <w:pPr>
      <w:ind w:left="720"/>
      <w:contextualSpacing/>
    </w:pPr>
  </w:style>
  <w:style w:type="character" w:styleId="FollowedHyperlink">
    <w:name w:val="FollowedHyperlink"/>
    <w:basedOn w:val="DefaultParagraphFont"/>
    <w:uiPriority w:val="99"/>
    <w:semiHidden/>
    <w:unhideWhenUsed/>
    <w:rsid w:val="00C17A19"/>
    <w:rPr>
      <w:color w:val="800080" w:themeColor="followedHyperlink"/>
      <w:u w:val="single"/>
    </w:rPr>
  </w:style>
  <w:style w:type="character" w:styleId="CommentReference">
    <w:name w:val="annotation reference"/>
    <w:basedOn w:val="DefaultParagraphFont"/>
    <w:uiPriority w:val="99"/>
    <w:semiHidden/>
    <w:unhideWhenUsed/>
    <w:rsid w:val="006E76CD"/>
    <w:rPr>
      <w:sz w:val="16"/>
      <w:szCs w:val="16"/>
    </w:rPr>
  </w:style>
  <w:style w:type="paragraph" w:styleId="CommentText">
    <w:name w:val="annotation text"/>
    <w:basedOn w:val="Normal"/>
    <w:link w:val="CommentTextChar"/>
    <w:uiPriority w:val="99"/>
    <w:semiHidden/>
    <w:unhideWhenUsed/>
    <w:rsid w:val="006E76CD"/>
    <w:pPr>
      <w:spacing w:line="240" w:lineRule="auto"/>
    </w:pPr>
    <w:rPr>
      <w:sz w:val="20"/>
      <w:szCs w:val="20"/>
    </w:rPr>
  </w:style>
  <w:style w:type="character" w:customStyle="1" w:styleId="CommentTextChar">
    <w:name w:val="Comment Text Char"/>
    <w:basedOn w:val="DefaultParagraphFont"/>
    <w:link w:val="CommentText"/>
    <w:uiPriority w:val="99"/>
    <w:semiHidden/>
    <w:rsid w:val="006E76CD"/>
    <w:rPr>
      <w:sz w:val="20"/>
      <w:szCs w:val="20"/>
    </w:rPr>
  </w:style>
  <w:style w:type="paragraph" w:styleId="CommentSubject">
    <w:name w:val="annotation subject"/>
    <w:basedOn w:val="CommentText"/>
    <w:next w:val="CommentText"/>
    <w:link w:val="CommentSubjectChar"/>
    <w:uiPriority w:val="99"/>
    <w:semiHidden/>
    <w:unhideWhenUsed/>
    <w:rsid w:val="006E76CD"/>
    <w:rPr>
      <w:b/>
      <w:bCs/>
    </w:rPr>
  </w:style>
  <w:style w:type="character" w:customStyle="1" w:styleId="CommentSubjectChar">
    <w:name w:val="Comment Subject Char"/>
    <w:basedOn w:val="CommentTextChar"/>
    <w:link w:val="CommentSubject"/>
    <w:uiPriority w:val="99"/>
    <w:semiHidden/>
    <w:rsid w:val="006E76CD"/>
    <w:rPr>
      <w:b/>
      <w:bCs/>
      <w:sz w:val="20"/>
      <w:szCs w:val="20"/>
    </w:rPr>
  </w:style>
  <w:style w:type="character" w:styleId="UnresolvedMention">
    <w:name w:val="Unresolved Mention"/>
    <w:basedOn w:val="DefaultParagraphFont"/>
    <w:uiPriority w:val="99"/>
    <w:semiHidden/>
    <w:unhideWhenUsed/>
    <w:rsid w:val="00DE11EF"/>
    <w:rPr>
      <w:color w:val="605E5C"/>
      <w:shd w:val="clear" w:color="auto" w:fill="E1DFDD"/>
    </w:rPr>
  </w:style>
  <w:style w:type="paragraph" w:styleId="NormalWeb">
    <w:name w:val="Normal (Web)"/>
    <w:basedOn w:val="Normal"/>
    <w:uiPriority w:val="99"/>
    <w:unhideWhenUsed/>
    <w:rsid w:val="00A9442A"/>
    <w:rPr>
      <w:rFonts w:ascii="Times New Roman" w:hAnsi="Times New Roman" w:cs="Times New Roman"/>
      <w:sz w:val="24"/>
      <w:szCs w:val="24"/>
    </w:rPr>
  </w:style>
  <w:style w:type="paragraph" w:customStyle="1" w:styleId="Default">
    <w:name w:val="Default"/>
    <w:rsid w:val="003E2DD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2A03DA"/>
    <w:rPr>
      <w:b/>
      <w:bCs/>
    </w:rPr>
  </w:style>
  <w:style w:type="paragraph" w:styleId="NoSpacing">
    <w:name w:val="No Spacing"/>
    <w:uiPriority w:val="1"/>
    <w:qFormat/>
    <w:rsid w:val="00D858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86754">
      <w:bodyDiv w:val="1"/>
      <w:marLeft w:val="0"/>
      <w:marRight w:val="0"/>
      <w:marTop w:val="0"/>
      <w:marBottom w:val="0"/>
      <w:divBdr>
        <w:top w:val="none" w:sz="0" w:space="0" w:color="auto"/>
        <w:left w:val="none" w:sz="0" w:space="0" w:color="auto"/>
        <w:bottom w:val="none" w:sz="0" w:space="0" w:color="auto"/>
        <w:right w:val="none" w:sz="0" w:space="0" w:color="auto"/>
      </w:divBdr>
    </w:div>
    <w:div w:id="423957539">
      <w:bodyDiv w:val="1"/>
      <w:marLeft w:val="0"/>
      <w:marRight w:val="0"/>
      <w:marTop w:val="0"/>
      <w:marBottom w:val="0"/>
      <w:divBdr>
        <w:top w:val="none" w:sz="0" w:space="0" w:color="auto"/>
        <w:left w:val="none" w:sz="0" w:space="0" w:color="auto"/>
        <w:bottom w:val="none" w:sz="0" w:space="0" w:color="auto"/>
        <w:right w:val="none" w:sz="0" w:space="0" w:color="auto"/>
      </w:divBdr>
    </w:div>
    <w:div w:id="732239604">
      <w:bodyDiv w:val="1"/>
      <w:marLeft w:val="0"/>
      <w:marRight w:val="0"/>
      <w:marTop w:val="0"/>
      <w:marBottom w:val="0"/>
      <w:divBdr>
        <w:top w:val="none" w:sz="0" w:space="0" w:color="auto"/>
        <w:left w:val="none" w:sz="0" w:space="0" w:color="auto"/>
        <w:bottom w:val="none" w:sz="0" w:space="0" w:color="auto"/>
        <w:right w:val="none" w:sz="0" w:space="0" w:color="auto"/>
      </w:divBdr>
    </w:div>
    <w:div w:id="917979532">
      <w:bodyDiv w:val="1"/>
      <w:marLeft w:val="0"/>
      <w:marRight w:val="0"/>
      <w:marTop w:val="0"/>
      <w:marBottom w:val="0"/>
      <w:divBdr>
        <w:top w:val="none" w:sz="0" w:space="0" w:color="auto"/>
        <w:left w:val="none" w:sz="0" w:space="0" w:color="auto"/>
        <w:bottom w:val="none" w:sz="0" w:space="0" w:color="auto"/>
        <w:right w:val="none" w:sz="0" w:space="0" w:color="auto"/>
      </w:divBdr>
    </w:div>
    <w:div w:id="997462924">
      <w:bodyDiv w:val="1"/>
      <w:marLeft w:val="0"/>
      <w:marRight w:val="0"/>
      <w:marTop w:val="0"/>
      <w:marBottom w:val="0"/>
      <w:divBdr>
        <w:top w:val="none" w:sz="0" w:space="0" w:color="auto"/>
        <w:left w:val="none" w:sz="0" w:space="0" w:color="auto"/>
        <w:bottom w:val="none" w:sz="0" w:space="0" w:color="auto"/>
        <w:right w:val="none" w:sz="0" w:space="0" w:color="auto"/>
      </w:divBdr>
    </w:div>
    <w:div w:id="1054237233">
      <w:bodyDiv w:val="1"/>
      <w:marLeft w:val="0"/>
      <w:marRight w:val="0"/>
      <w:marTop w:val="0"/>
      <w:marBottom w:val="0"/>
      <w:divBdr>
        <w:top w:val="none" w:sz="0" w:space="0" w:color="auto"/>
        <w:left w:val="none" w:sz="0" w:space="0" w:color="auto"/>
        <w:bottom w:val="none" w:sz="0" w:space="0" w:color="auto"/>
        <w:right w:val="none" w:sz="0" w:space="0" w:color="auto"/>
      </w:divBdr>
    </w:div>
    <w:div w:id="1185483611">
      <w:bodyDiv w:val="1"/>
      <w:marLeft w:val="0"/>
      <w:marRight w:val="0"/>
      <w:marTop w:val="0"/>
      <w:marBottom w:val="0"/>
      <w:divBdr>
        <w:top w:val="none" w:sz="0" w:space="0" w:color="auto"/>
        <w:left w:val="none" w:sz="0" w:space="0" w:color="auto"/>
        <w:bottom w:val="none" w:sz="0" w:space="0" w:color="auto"/>
        <w:right w:val="none" w:sz="0" w:space="0" w:color="auto"/>
      </w:divBdr>
    </w:div>
    <w:div w:id="192737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bsa.nhs.uk/ordering-community-pharmacy-ppe-supplies-using-ppe-portal" TargetMode="External"/><Relationship Id="rId18" Type="http://schemas.openxmlformats.org/officeDocument/2006/relationships/hyperlink" Target="https://devonlpc.org/pharmacy-resources/resources-g-l/formularies/" TargetMode="External"/><Relationship Id="rId26" Type="http://schemas.openxmlformats.org/officeDocument/2006/relationships/hyperlink" Target="https://www.nhsbsa.nhs.uk/pharmacies-gp-practices-and-appliance-contractors/dispensing-contractors-information/nhs-community-pharmacist-consultation-service-minor-illness-and-urgent-repeat-medicines-supply" TargetMode="External"/><Relationship Id="rId3" Type="http://schemas.openxmlformats.org/officeDocument/2006/relationships/styles" Target="styles.xml"/><Relationship Id="rId21" Type="http://schemas.openxmlformats.org/officeDocument/2006/relationships/hyperlink" Target="https://www.england.nhs.uk/publication/nhs-discharge-medicines-service-essential-service-toolkit-for-pharmacy-staff-in-community-primary-and-secondary-car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hs-ppe.co.uk/customer/authentication" TargetMode="External"/><Relationship Id="rId17" Type="http://schemas.openxmlformats.org/officeDocument/2006/relationships/hyperlink" Target="https://devonlpc.org/our-news/devon-lpc-newsletter-september-2020/pqs-part-2-training-summary/" TargetMode="External"/><Relationship Id="rId25" Type="http://schemas.openxmlformats.org/officeDocument/2006/relationships/hyperlink" Target="https://psnc.org.uk/our-news/commencement-of-gp-referrals-to-cpc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snc.org.uk/services-commissioning/pharmacy-quality-scheme/pqs-2020-21-part-2/" TargetMode="External"/><Relationship Id="rId20" Type="http://schemas.openxmlformats.org/officeDocument/2006/relationships/hyperlink" Target="https://www.england.nhs.uk/primary-care/pharmacy/pharmacy-manual/nhs-pharmacy-regulations-guidance-2020/" TargetMode="External"/><Relationship Id="rId29" Type="http://schemas.openxmlformats.org/officeDocument/2006/relationships/hyperlink" Target="https://www.virtualoutcomes.co.uk/pharmacy-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nc.org.uk/our-news/updated-phe-guidance-on-use-of-face-masks-by-pharmacy-staff/" TargetMode="External"/><Relationship Id="rId24" Type="http://schemas.openxmlformats.org/officeDocument/2006/relationships/hyperlink" Target="https://psnc.org.uk/services-commissioning/essential-services/discharge-medicines-service/" TargetMode="External"/><Relationship Id="rId32" Type="http://schemas.openxmlformats.org/officeDocument/2006/relationships/hyperlink" Target="http://www.devonlpc.org" TargetMode="External"/><Relationship Id="rId5" Type="http://schemas.openxmlformats.org/officeDocument/2006/relationships/webSettings" Target="webSettings.xml"/><Relationship Id="rId15" Type="http://schemas.openxmlformats.org/officeDocument/2006/relationships/hyperlink" Target="https://psnc.org.uk/services-commissioning/advanced-services/murs/" TargetMode="External"/><Relationship Id="rId23" Type="http://schemas.openxmlformats.org/officeDocument/2006/relationships/hyperlink" Target="https://www.cppe.ac.uk/services/declaration-of-competence" TargetMode="External"/><Relationship Id="rId28" Type="http://schemas.openxmlformats.org/officeDocument/2006/relationships/hyperlink" Target="https://www.virtualoutcomes.co.uk/pharmacy-training/" TargetMode="External"/><Relationship Id="rId36" Type="http://schemas.openxmlformats.org/officeDocument/2006/relationships/theme" Target="theme/theme1.xml"/><Relationship Id="rId10" Type="http://schemas.openxmlformats.org/officeDocument/2006/relationships/hyperlink" Target="https://www.england.nhs.uk/publication/2021-22-influenza-season-letter/" TargetMode="External"/><Relationship Id="rId19" Type="http://schemas.openxmlformats.org/officeDocument/2006/relationships/hyperlink" Target="https://pharmacy-review.org/your-representation-your-say-engagement-event/" TargetMode="External"/><Relationship Id="rId31" Type="http://schemas.openxmlformats.org/officeDocument/2006/relationships/hyperlink" Target="mailto:admin@devonlpc.org" TargetMode="External"/><Relationship Id="rId4" Type="http://schemas.openxmlformats.org/officeDocument/2006/relationships/settings" Target="settings.xml"/><Relationship Id="rId9" Type="http://schemas.openxmlformats.org/officeDocument/2006/relationships/hyperlink" Target="https://psnc.org.uk/the-healthcare-landscape/covid19/business-continuity/" TargetMode="External"/><Relationship Id="rId14" Type="http://schemas.openxmlformats.org/officeDocument/2006/relationships/hyperlink" Target="https://psnc.org.uk/our-news/pqs-and-service-changes-agreed-to-create-extra-capacity/" TargetMode="External"/><Relationship Id="rId22" Type="http://schemas.openxmlformats.org/officeDocument/2006/relationships/hyperlink" Target="https://www.cppe.ac.uk/programmes/l/transfer-e-02" TargetMode="External"/><Relationship Id="rId27" Type="http://schemas.openxmlformats.org/officeDocument/2006/relationships/hyperlink" Target="https://devonlpc.org/our-news/gp-community-pharmacist-consultation-service-gp-cpcs/" TargetMode="External"/><Relationship Id="rId30" Type="http://schemas.openxmlformats.org/officeDocument/2006/relationships/hyperlink" Target="https://www.workcast.com/register?cpak=1497615363893726" TargetMode="External"/><Relationship Id="rId35" Type="http://schemas.openxmlformats.org/officeDocument/2006/relationships/fontTable" Target="fontTable.xml"/><Relationship Id="rId8" Type="http://schemas.openxmlformats.org/officeDocument/2006/relationships/hyperlink" Target="https://psnc.org.uk/the-healthcare-landscape/covid19/information-for-the-publi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58A5-4867-4A27-9C34-4D00E0B9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Devon Local pharmaceutical comittee</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Jones</dc:creator>
  <cp:lastModifiedBy>Kathryn Jones</cp:lastModifiedBy>
  <cp:revision>2</cp:revision>
  <dcterms:created xsi:type="dcterms:W3CDTF">2021-03-02T12:16:00Z</dcterms:created>
  <dcterms:modified xsi:type="dcterms:W3CDTF">2021-03-02T12:16:00Z</dcterms:modified>
</cp:coreProperties>
</file>