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238B8" w14:textId="384A80BA" w:rsidR="00CA1256" w:rsidRPr="003824CB" w:rsidRDefault="00721BA2" w:rsidP="00CA1256">
      <w:pPr>
        <w:widowControl w:val="0"/>
        <w:spacing w:after="120" w:line="285" w:lineRule="auto"/>
        <w:rPr>
          <w:rFonts w:ascii="Calibri" w:eastAsia="Times New Roman" w:hAnsi="Calibri" w:cs="Calibri"/>
          <w:kern w:val="28"/>
          <w:sz w:val="36"/>
          <w:szCs w:val="36"/>
          <w:lang w:eastAsia="en-GB"/>
          <w14:cntxtAlts/>
        </w:rPr>
      </w:pPr>
      <w:r w:rsidRPr="003824CB">
        <w:rPr>
          <w:rFonts w:ascii="Calibri" w:eastAsia="Times New Roman" w:hAnsi="Calibri" w:cs="Calibri"/>
          <w:kern w:val="28"/>
          <w:sz w:val="36"/>
          <w:szCs w:val="36"/>
          <w:lang w:eastAsia="en-GB"/>
          <w14:cntxtAlts/>
        </w:rPr>
        <w:t xml:space="preserve">Locum </w:t>
      </w:r>
      <w:r w:rsidR="007767FA" w:rsidRPr="003824CB">
        <w:rPr>
          <w:rFonts w:ascii="Calibri" w:eastAsia="Times New Roman" w:hAnsi="Calibri" w:cs="Calibri"/>
          <w:kern w:val="28"/>
          <w:sz w:val="36"/>
          <w:szCs w:val="36"/>
          <w:lang w:eastAsia="en-GB"/>
          <w14:cntxtAlts/>
        </w:rPr>
        <w:t>checklist for</w:t>
      </w:r>
      <w:r w:rsidRPr="003824CB">
        <w:rPr>
          <w:rFonts w:ascii="Calibri" w:eastAsia="Times New Roman" w:hAnsi="Calibri" w:cs="Calibri"/>
          <w:kern w:val="28"/>
          <w:sz w:val="36"/>
          <w:szCs w:val="36"/>
          <w:lang w:eastAsia="en-GB"/>
          <w14:cntxtAlts/>
        </w:rPr>
        <w:t xml:space="preserve"> </w:t>
      </w:r>
      <w:r w:rsidR="00DA0DB2">
        <w:rPr>
          <w:rFonts w:ascii="Calibri" w:eastAsia="Times New Roman" w:hAnsi="Calibri" w:cs="Calibri"/>
          <w:kern w:val="28"/>
          <w:sz w:val="36"/>
          <w:szCs w:val="36"/>
          <w:lang w:eastAsia="en-GB"/>
          <w14:cntxtAlts/>
        </w:rPr>
        <w:t>GP</w:t>
      </w:r>
      <w:r w:rsidRPr="003824CB">
        <w:rPr>
          <w:rFonts w:ascii="Calibri" w:eastAsia="Times New Roman" w:hAnsi="Calibri" w:cs="Calibri"/>
          <w:kern w:val="28"/>
          <w:sz w:val="36"/>
          <w:szCs w:val="36"/>
          <w:lang w:eastAsia="en-GB"/>
          <w14:cntxtAlts/>
        </w:rPr>
        <w:t>CPCS</w:t>
      </w:r>
    </w:p>
    <w:p w14:paraId="564FE5C8" w14:textId="0891BA66" w:rsidR="00CA1256" w:rsidRPr="003824CB" w:rsidRDefault="00CA1256" w:rsidP="00CA1256">
      <w:pPr>
        <w:rPr>
          <w:sz w:val="20"/>
          <w:szCs w:val="20"/>
        </w:rPr>
      </w:pPr>
      <w:r w:rsidRPr="003824CB">
        <w:rPr>
          <w:sz w:val="20"/>
          <w:szCs w:val="20"/>
        </w:rPr>
        <w:t xml:space="preserve">It is vital that the new </w:t>
      </w:r>
      <w:r w:rsidR="00ED1180">
        <w:rPr>
          <w:sz w:val="20"/>
          <w:szCs w:val="20"/>
        </w:rPr>
        <w:t xml:space="preserve">GP </w:t>
      </w:r>
      <w:r w:rsidRPr="003824CB">
        <w:rPr>
          <w:sz w:val="20"/>
          <w:szCs w:val="20"/>
        </w:rPr>
        <w:t>Community Pharmacist Consultation Service (</w:t>
      </w:r>
      <w:r w:rsidR="00ED1180">
        <w:rPr>
          <w:sz w:val="20"/>
          <w:szCs w:val="20"/>
        </w:rPr>
        <w:t>GP</w:t>
      </w:r>
      <w:r w:rsidRPr="003824CB">
        <w:rPr>
          <w:sz w:val="20"/>
          <w:szCs w:val="20"/>
        </w:rPr>
        <w:t xml:space="preserve">CPCS) is provided throughout the pharmacies opening hours. This document provides a guide for locum pharmacists unfamiliar with the pharmacy’s ways of working. Keep this sheet with any other local service documentation, including Declarations of Competence </w:t>
      </w:r>
      <w:r w:rsidR="00A43093" w:rsidRPr="003824CB">
        <w:rPr>
          <w:sz w:val="20"/>
          <w:szCs w:val="20"/>
        </w:rPr>
        <w:t>(</w:t>
      </w:r>
      <w:proofErr w:type="spellStart"/>
      <w:r w:rsidR="00A43093" w:rsidRPr="003824CB">
        <w:rPr>
          <w:sz w:val="20"/>
          <w:szCs w:val="20"/>
        </w:rPr>
        <w:t>DoCs</w:t>
      </w:r>
      <w:proofErr w:type="spellEnd"/>
      <w:r w:rsidR="00A43093" w:rsidRPr="003824CB">
        <w:rPr>
          <w:sz w:val="20"/>
          <w:szCs w:val="20"/>
        </w:rPr>
        <w:t xml:space="preserve">) </w:t>
      </w:r>
      <w:r w:rsidRPr="003824CB">
        <w:rPr>
          <w:sz w:val="20"/>
          <w:szCs w:val="20"/>
        </w:rPr>
        <w:t>or PGDs.</w:t>
      </w:r>
    </w:p>
    <w:p w14:paraId="1D0EFD3B" w14:textId="1D392B1A" w:rsidR="00CA1256" w:rsidRPr="00A602D1" w:rsidRDefault="00CA1256" w:rsidP="00E157CB">
      <w:pPr>
        <w:widowControl w:val="0"/>
        <w:spacing w:after="0" w:line="285" w:lineRule="auto"/>
        <w:rPr>
          <w:rFonts w:ascii="Calibri" w:eastAsia="Times New Roman" w:hAnsi="Calibri" w:cs="Calibri"/>
          <w:b/>
          <w:kern w:val="28"/>
          <w:sz w:val="28"/>
          <w:szCs w:val="28"/>
          <w:lang w:eastAsia="en-GB"/>
          <w14:cntxtAlts/>
        </w:rPr>
      </w:pPr>
      <w:r w:rsidRPr="00A602D1">
        <w:rPr>
          <w:rFonts w:ascii="Calibri" w:eastAsia="Times New Roman" w:hAnsi="Calibri" w:cs="Calibri"/>
          <w:b/>
          <w:kern w:val="28"/>
          <w:sz w:val="28"/>
          <w:szCs w:val="28"/>
          <w:lang w:eastAsia="en-GB"/>
          <w14:cntxtAlts/>
        </w:rPr>
        <w:t xml:space="preserve">Accessing </w:t>
      </w:r>
      <w:r w:rsidR="00DA0DB2" w:rsidRPr="00A602D1">
        <w:rPr>
          <w:rFonts w:ascii="Calibri" w:eastAsia="Times New Roman" w:hAnsi="Calibri" w:cs="Calibri"/>
          <w:b/>
          <w:kern w:val="28"/>
          <w:sz w:val="28"/>
          <w:szCs w:val="28"/>
          <w:lang w:eastAsia="en-GB"/>
          <w14:cntxtAlts/>
        </w:rPr>
        <w:t>GP</w:t>
      </w:r>
      <w:r w:rsidRPr="00A602D1">
        <w:rPr>
          <w:rFonts w:ascii="Calibri" w:eastAsia="Times New Roman" w:hAnsi="Calibri" w:cs="Calibri"/>
          <w:b/>
          <w:kern w:val="28"/>
          <w:sz w:val="28"/>
          <w:szCs w:val="28"/>
          <w:lang w:eastAsia="en-GB"/>
          <w14:cntxtAlts/>
        </w:rPr>
        <w:t>CPCS</w:t>
      </w:r>
    </w:p>
    <w:p w14:paraId="7F8D7C66" w14:textId="44454389" w:rsidR="00FD00FD" w:rsidRPr="00FD00FD" w:rsidRDefault="00DA0DB2" w:rsidP="00FD00FD">
      <w:pPr>
        <w:rPr>
          <w:sz w:val="20"/>
          <w:szCs w:val="20"/>
        </w:rPr>
      </w:pPr>
      <w:r>
        <w:rPr>
          <w:sz w:val="20"/>
          <w:szCs w:val="20"/>
        </w:rPr>
        <w:t>GP</w:t>
      </w:r>
      <w:r w:rsidR="00E80722">
        <w:rPr>
          <w:sz w:val="20"/>
          <w:szCs w:val="20"/>
        </w:rPr>
        <w:t xml:space="preserve">CPCS referrals </w:t>
      </w:r>
      <w:r>
        <w:rPr>
          <w:sz w:val="20"/>
          <w:szCs w:val="20"/>
        </w:rPr>
        <w:t>are an additional component to the existing NHS111 CPCS referral service.  The GP</w:t>
      </w:r>
      <w:r w:rsidR="00E80722">
        <w:rPr>
          <w:sz w:val="20"/>
          <w:szCs w:val="20"/>
        </w:rPr>
        <w:t xml:space="preserve">CPCS service </w:t>
      </w:r>
      <w:r>
        <w:rPr>
          <w:sz w:val="20"/>
          <w:szCs w:val="20"/>
        </w:rPr>
        <w:t xml:space="preserve">is </w:t>
      </w:r>
      <w:r w:rsidR="00E80722">
        <w:rPr>
          <w:sz w:val="20"/>
          <w:szCs w:val="20"/>
        </w:rPr>
        <w:t xml:space="preserve">where the local GP practice may refer a patient to you – this referral will come via NHS Mail </w:t>
      </w:r>
      <w:r>
        <w:rPr>
          <w:sz w:val="20"/>
          <w:szCs w:val="20"/>
        </w:rPr>
        <w:t xml:space="preserve">and be on one of two templates </w:t>
      </w:r>
      <w:r w:rsidR="00E80722">
        <w:rPr>
          <w:sz w:val="20"/>
          <w:szCs w:val="20"/>
        </w:rPr>
        <w:t>depending on the locally agreed pathway. Both 111 CPCS &amp; GP CPCS</w:t>
      </w:r>
      <w:r w:rsidR="00CA1256" w:rsidRPr="00FD00FD">
        <w:rPr>
          <w:sz w:val="20"/>
          <w:szCs w:val="20"/>
        </w:rPr>
        <w:t xml:space="preserve"> are recorded (ideally during the consultation) on PharmOutcomes to ensure all data is captured. </w:t>
      </w:r>
      <w:r w:rsidR="00FD00FD" w:rsidRPr="00A43093">
        <w:rPr>
          <w:b/>
          <w:bCs/>
          <w:sz w:val="20"/>
          <w:szCs w:val="20"/>
          <w:u w:val="single"/>
        </w:rPr>
        <w:t>Consultations must occur in the consultation room.</w:t>
      </w:r>
    </w:p>
    <w:tbl>
      <w:tblPr>
        <w:tblStyle w:val="GridTable4-Accent11"/>
        <w:tblW w:w="0" w:type="auto"/>
        <w:tblLook w:val="04A0" w:firstRow="1" w:lastRow="0" w:firstColumn="1" w:lastColumn="0" w:noHBand="0" w:noVBand="1"/>
      </w:tblPr>
      <w:tblGrid>
        <w:gridCol w:w="3248"/>
        <w:gridCol w:w="5768"/>
      </w:tblGrid>
      <w:tr w:rsidR="00FD00FD" w14:paraId="1A10D6F6" w14:textId="77777777" w:rsidTr="00FD00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24F961D4" w14:textId="77777777" w:rsidR="00FD00FD" w:rsidRDefault="00FD00FD" w:rsidP="00FD00FD"/>
        </w:tc>
        <w:tc>
          <w:tcPr>
            <w:tcW w:w="5873" w:type="dxa"/>
          </w:tcPr>
          <w:p w14:paraId="0E2AC694" w14:textId="77777777" w:rsidR="00FD00FD" w:rsidRDefault="00FD00FD" w:rsidP="00FD00FD">
            <w:pPr>
              <w:cnfStyle w:val="100000000000" w:firstRow="1" w:lastRow="0" w:firstColumn="0" w:lastColumn="0" w:oddVBand="0" w:evenVBand="0" w:oddHBand="0" w:evenHBand="0" w:firstRowFirstColumn="0" w:firstRowLastColumn="0" w:lastRowFirstColumn="0" w:lastRowLastColumn="0"/>
            </w:pPr>
          </w:p>
        </w:tc>
      </w:tr>
      <w:tr w:rsidR="00FD00FD" w14:paraId="2CE61953" w14:textId="77777777" w:rsidTr="00FD0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131361E1" w14:textId="6C57ABD1" w:rsidR="00FD00FD" w:rsidRDefault="00FD00FD" w:rsidP="00FD00FD">
            <w:r>
              <w:t>The SOP for CPCS can be found</w:t>
            </w:r>
            <w:r w:rsidR="00A43093">
              <w:t>:</w:t>
            </w:r>
          </w:p>
        </w:tc>
        <w:tc>
          <w:tcPr>
            <w:tcW w:w="5873" w:type="dxa"/>
          </w:tcPr>
          <w:p w14:paraId="699EA54A" w14:textId="77777777" w:rsidR="00FD00FD" w:rsidRDefault="00FD00FD" w:rsidP="00FD00FD">
            <w:pPr>
              <w:cnfStyle w:val="000000100000" w:firstRow="0" w:lastRow="0" w:firstColumn="0" w:lastColumn="0" w:oddVBand="0" w:evenVBand="0" w:oddHBand="1" w:evenHBand="0" w:firstRowFirstColumn="0" w:firstRowLastColumn="0" w:lastRowFirstColumn="0" w:lastRowLastColumn="0"/>
              <w:rPr>
                <w:i/>
                <w:iCs/>
                <w:color w:val="A6A6A6" w:themeColor="background1" w:themeShade="A6"/>
              </w:rPr>
            </w:pPr>
            <w:r w:rsidRPr="00187A9C">
              <w:rPr>
                <w:i/>
                <w:iCs/>
                <w:color w:val="A6A6A6" w:themeColor="background1" w:themeShade="A6"/>
              </w:rPr>
              <w:t>The SOP is stored where?</w:t>
            </w:r>
          </w:p>
          <w:p w14:paraId="0637FCB3" w14:textId="77777777" w:rsidR="00FD00FD" w:rsidRPr="00187A9C" w:rsidRDefault="00FD00FD" w:rsidP="00FD00FD">
            <w:pPr>
              <w:cnfStyle w:val="000000100000" w:firstRow="0" w:lastRow="0" w:firstColumn="0" w:lastColumn="0" w:oddVBand="0" w:evenVBand="0" w:oddHBand="1" w:evenHBand="0" w:firstRowFirstColumn="0" w:firstRowLastColumn="0" w:lastRowFirstColumn="0" w:lastRowLastColumn="0"/>
              <w:rPr>
                <w:i/>
                <w:iCs/>
                <w:color w:val="A6A6A6" w:themeColor="background1" w:themeShade="A6"/>
              </w:rPr>
            </w:pPr>
          </w:p>
        </w:tc>
      </w:tr>
      <w:tr w:rsidR="00FD00FD" w14:paraId="74FC7ADC" w14:textId="77777777" w:rsidTr="00FD00FD">
        <w:tc>
          <w:tcPr>
            <w:cnfStyle w:val="001000000000" w:firstRow="0" w:lastRow="0" w:firstColumn="1" w:lastColumn="0" w:oddVBand="0" w:evenVBand="0" w:oddHBand="0" w:evenHBand="0" w:firstRowFirstColumn="0" w:firstRowLastColumn="0" w:lastRowFirstColumn="0" w:lastRowLastColumn="0"/>
            <w:tcW w:w="3369" w:type="dxa"/>
          </w:tcPr>
          <w:p w14:paraId="126644C5" w14:textId="7A677399" w:rsidR="00FD00FD" w:rsidRDefault="00FD00FD" w:rsidP="00FD00FD">
            <w:r>
              <w:t>Who can access PharmOutcomes</w:t>
            </w:r>
            <w:r w:rsidR="00A43093">
              <w:t>?</w:t>
            </w:r>
          </w:p>
        </w:tc>
        <w:tc>
          <w:tcPr>
            <w:tcW w:w="5873" w:type="dxa"/>
          </w:tcPr>
          <w:p w14:paraId="7868F535" w14:textId="77777777" w:rsidR="00FD00FD" w:rsidRDefault="00FD00FD" w:rsidP="00FD00FD">
            <w:pPr>
              <w:cnfStyle w:val="000000000000" w:firstRow="0" w:lastRow="0" w:firstColumn="0" w:lastColumn="0" w:oddVBand="0" w:evenVBand="0" w:oddHBand="0" w:evenHBand="0" w:firstRowFirstColumn="0" w:firstRowLastColumn="0" w:lastRowFirstColumn="0" w:lastRowLastColumn="0"/>
              <w:rPr>
                <w:i/>
                <w:iCs/>
                <w:color w:val="A6A6A6" w:themeColor="background1" w:themeShade="A6"/>
              </w:rPr>
            </w:pPr>
            <w:r>
              <w:rPr>
                <w:i/>
                <w:iCs/>
                <w:color w:val="A6A6A6" w:themeColor="background1" w:themeShade="A6"/>
              </w:rPr>
              <w:t>Names of people with access to PharmOutcomes</w:t>
            </w:r>
          </w:p>
          <w:p w14:paraId="6D93E292" w14:textId="77777777" w:rsidR="00FD00FD" w:rsidRDefault="00FD00FD" w:rsidP="00FD00FD">
            <w:pPr>
              <w:cnfStyle w:val="000000000000" w:firstRow="0" w:lastRow="0" w:firstColumn="0" w:lastColumn="0" w:oddVBand="0" w:evenVBand="0" w:oddHBand="0" w:evenHBand="0" w:firstRowFirstColumn="0" w:firstRowLastColumn="0" w:lastRowFirstColumn="0" w:lastRowLastColumn="0"/>
              <w:rPr>
                <w:i/>
                <w:iCs/>
                <w:color w:val="A6A6A6" w:themeColor="background1" w:themeShade="A6"/>
              </w:rPr>
            </w:pPr>
          </w:p>
          <w:p w14:paraId="5D67DFAB" w14:textId="77777777" w:rsidR="00FD00FD" w:rsidRPr="00187A9C" w:rsidRDefault="00FD00FD" w:rsidP="00FD00FD">
            <w:pPr>
              <w:cnfStyle w:val="000000000000" w:firstRow="0" w:lastRow="0" w:firstColumn="0" w:lastColumn="0" w:oddVBand="0" w:evenVBand="0" w:oddHBand="0" w:evenHBand="0" w:firstRowFirstColumn="0" w:firstRowLastColumn="0" w:lastRowFirstColumn="0" w:lastRowLastColumn="0"/>
              <w:rPr>
                <w:i/>
                <w:iCs/>
                <w:color w:val="A6A6A6" w:themeColor="background1" w:themeShade="A6"/>
              </w:rPr>
            </w:pPr>
          </w:p>
        </w:tc>
      </w:tr>
      <w:tr w:rsidR="00FD00FD" w14:paraId="0B2AD679" w14:textId="77777777" w:rsidTr="00A43093">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369" w:type="dxa"/>
          </w:tcPr>
          <w:p w14:paraId="15023EAA" w14:textId="6DCAAC64" w:rsidR="00FD00FD" w:rsidRDefault="00FD00FD" w:rsidP="00FD00FD">
            <w:r>
              <w:t>Who has a smart card and can provide access SCR records if I can’t</w:t>
            </w:r>
            <w:r w:rsidR="00A43093">
              <w:t>?</w:t>
            </w:r>
          </w:p>
        </w:tc>
        <w:tc>
          <w:tcPr>
            <w:tcW w:w="5873" w:type="dxa"/>
          </w:tcPr>
          <w:p w14:paraId="122AB33D" w14:textId="77777777" w:rsidR="00FD00FD" w:rsidRPr="00187A9C" w:rsidRDefault="00FD00FD" w:rsidP="00FD00FD">
            <w:pPr>
              <w:cnfStyle w:val="000000100000" w:firstRow="0" w:lastRow="0" w:firstColumn="0" w:lastColumn="0" w:oddVBand="0" w:evenVBand="0" w:oddHBand="1" w:evenHBand="0" w:firstRowFirstColumn="0" w:firstRowLastColumn="0" w:lastRowFirstColumn="0" w:lastRowLastColumn="0"/>
              <w:rPr>
                <w:i/>
                <w:iCs/>
                <w:color w:val="A6A6A6" w:themeColor="background1" w:themeShade="A6"/>
              </w:rPr>
            </w:pPr>
            <w:r>
              <w:rPr>
                <w:i/>
                <w:iCs/>
                <w:color w:val="A6A6A6" w:themeColor="background1" w:themeShade="A6"/>
              </w:rPr>
              <w:t>Names of team members with smart cards</w:t>
            </w:r>
          </w:p>
        </w:tc>
      </w:tr>
      <w:tr w:rsidR="00FD00FD" w14:paraId="48CDC6AF" w14:textId="77777777" w:rsidTr="00FD00FD">
        <w:tc>
          <w:tcPr>
            <w:cnfStyle w:val="001000000000" w:firstRow="0" w:lastRow="0" w:firstColumn="1" w:lastColumn="0" w:oddVBand="0" w:evenVBand="0" w:oddHBand="0" w:evenHBand="0" w:firstRowFirstColumn="0" w:firstRowLastColumn="0" w:lastRowFirstColumn="0" w:lastRowLastColumn="0"/>
            <w:tcW w:w="3369" w:type="dxa"/>
          </w:tcPr>
          <w:p w14:paraId="057292FD" w14:textId="78E4D3C5" w:rsidR="00FD00FD" w:rsidRDefault="00FD00FD" w:rsidP="00DA0DB2">
            <w:r>
              <w:t>NHS</w:t>
            </w:r>
            <w:r w:rsidR="00DA0DB2">
              <w:t xml:space="preserve"> </w:t>
            </w:r>
            <w:r>
              <w:t xml:space="preserve">mail is checked for referrals </w:t>
            </w:r>
            <w:r w:rsidR="00DA0DB2">
              <w:t>at least three time a day</w:t>
            </w:r>
            <w:r>
              <w:t xml:space="preserve"> and by who?</w:t>
            </w:r>
          </w:p>
        </w:tc>
        <w:tc>
          <w:tcPr>
            <w:tcW w:w="5873" w:type="dxa"/>
          </w:tcPr>
          <w:p w14:paraId="177D9BC6" w14:textId="77777777" w:rsidR="00FD00FD" w:rsidRPr="00187A9C" w:rsidRDefault="00FD00FD" w:rsidP="00FD00FD">
            <w:pPr>
              <w:cnfStyle w:val="000000000000" w:firstRow="0" w:lastRow="0" w:firstColumn="0" w:lastColumn="0" w:oddVBand="0" w:evenVBand="0" w:oddHBand="0" w:evenHBand="0" w:firstRowFirstColumn="0" w:firstRowLastColumn="0" w:lastRowFirstColumn="0" w:lastRowLastColumn="0"/>
              <w:rPr>
                <w:i/>
                <w:iCs/>
                <w:color w:val="A6A6A6" w:themeColor="background1" w:themeShade="A6"/>
              </w:rPr>
            </w:pPr>
            <w:r>
              <w:rPr>
                <w:i/>
                <w:iCs/>
                <w:color w:val="A6A6A6" w:themeColor="background1" w:themeShade="A6"/>
              </w:rPr>
              <w:t>How often do you expect the team to check for referrals (this should be at the start and end of the day as a minimum)? Who in the pharmacy is responsible for checking this?</w:t>
            </w:r>
          </w:p>
        </w:tc>
      </w:tr>
      <w:tr w:rsidR="00FD00FD" w14:paraId="3BC8B0FE" w14:textId="77777777" w:rsidTr="00A43093">
        <w:trPr>
          <w:cnfStyle w:val="000000100000" w:firstRow="0" w:lastRow="0" w:firstColumn="0" w:lastColumn="0" w:oddVBand="0" w:evenVBand="0" w:oddHBand="1" w:evenHBand="0" w:firstRowFirstColumn="0" w:firstRowLastColumn="0" w:lastRowFirstColumn="0" w:lastRowLastColumn="0"/>
          <w:trHeight w:val="1880"/>
        </w:trPr>
        <w:tc>
          <w:tcPr>
            <w:cnfStyle w:val="001000000000" w:firstRow="0" w:lastRow="0" w:firstColumn="1" w:lastColumn="0" w:oddVBand="0" w:evenVBand="0" w:oddHBand="0" w:evenHBand="0" w:firstRowFirstColumn="0" w:firstRowLastColumn="0" w:lastRowFirstColumn="0" w:lastRowLastColumn="0"/>
            <w:tcW w:w="3369" w:type="dxa"/>
          </w:tcPr>
          <w:p w14:paraId="75FC1D28" w14:textId="77777777" w:rsidR="00FD00FD" w:rsidRDefault="00FD00FD" w:rsidP="00FD00FD">
            <w:r>
              <w:t>Where are contact details to refer patients on to other providers?</w:t>
            </w:r>
          </w:p>
        </w:tc>
        <w:tc>
          <w:tcPr>
            <w:tcW w:w="5873" w:type="dxa"/>
          </w:tcPr>
          <w:p w14:paraId="63F778F9" w14:textId="77777777" w:rsidR="00FD00FD" w:rsidRDefault="00FD00FD" w:rsidP="00FD00FD">
            <w:pPr>
              <w:cnfStyle w:val="000000100000" w:firstRow="0" w:lastRow="0" w:firstColumn="0" w:lastColumn="0" w:oddVBand="0" w:evenVBand="0" w:oddHBand="1" w:evenHBand="0" w:firstRowFirstColumn="0" w:firstRowLastColumn="0" w:lastRowFirstColumn="0" w:lastRowLastColumn="0"/>
            </w:pPr>
            <w:r>
              <w:t>All local healthcare providers and their non-public contact details can be found through Service Finder.</w:t>
            </w:r>
          </w:p>
          <w:p w14:paraId="27E8C299" w14:textId="77777777" w:rsidR="00FD00FD" w:rsidRDefault="007B4808" w:rsidP="00FD00FD">
            <w:pPr>
              <w:cnfStyle w:val="000000100000" w:firstRow="0" w:lastRow="0" w:firstColumn="0" w:lastColumn="0" w:oddVBand="0" w:evenVBand="0" w:oddHBand="1" w:evenHBand="0" w:firstRowFirstColumn="0" w:firstRowLastColumn="0" w:lastRowFirstColumn="0" w:lastRowLastColumn="0"/>
            </w:pPr>
            <w:hyperlink r:id="rId9" w:anchor="/login" w:history="1">
              <w:r w:rsidR="00FD00FD">
                <w:rPr>
                  <w:rStyle w:val="Hyperlink"/>
                </w:rPr>
                <w:t>https://finder.directoryofservices.nhs.uk/#/login</w:t>
              </w:r>
            </w:hyperlink>
          </w:p>
          <w:p w14:paraId="277E2EC4" w14:textId="77777777" w:rsidR="00FD00FD" w:rsidRDefault="00FD00FD" w:rsidP="00FD00FD">
            <w:pPr>
              <w:cnfStyle w:val="000000100000" w:firstRow="0" w:lastRow="0" w:firstColumn="0" w:lastColumn="0" w:oddVBand="0" w:evenVBand="0" w:oddHBand="1" w:evenHBand="0" w:firstRowFirstColumn="0" w:firstRowLastColumn="0" w:lastRowFirstColumn="0" w:lastRowLastColumn="0"/>
            </w:pPr>
            <w:r>
              <w:t>Username:</w:t>
            </w:r>
          </w:p>
          <w:p w14:paraId="2ED4DE1C" w14:textId="77777777" w:rsidR="00FD00FD" w:rsidRDefault="00FD00FD" w:rsidP="00FD00FD">
            <w:pPr>
              <w:cnfStyle w:val="000000100000" w:firstRow="0" w:lastRow="0" w:firstColumn="0" w:lastColumn="0" w:oddVBand="0" w:evenVBand="0" w:oddHBand="1" w:evenHBand="0" w:firstRowFirstColumn="0" w:firstRowLastColumn="0" w:lastRowFirstColumn="0" w:lastRowLastColumn="0"/>
            </w:pPr>
          </w:p>
          <w:p w14:paraId="3759A7E5" w14:textId="77777777" w:rsidR="00FD00FD" w:rsidRDefault="00FD00FD" w:rsidP="00FD00FD">
            <w:pPr>
              <w:cnfStyle w:val="000000100000" w:firstRow="0" w:lastRow="0" w:firstColumn="0" w:lastColumn="0" w:oddVBand="0" w:evenVBand="0" w:oddHBand="1" w:evenHBand="0" w:firstRowFirstColumn="0" w:firstRowLastColumn="0" w:lastRowFirstColumn="0" w:lastRowLastColumn="0"/>
            </w:pPr>
            <w:r>
              <w:t>Password:</w:t>
            </w:r>
          </w:p>
          <w:p w14:paraId="058AE039" w14:textId="77777777" w:rsidR="00FD00FD" w:rsidRPr="00187A9C" w:rsidRDefault="00FD00FD" w:rsidP="00FD00FD">
            <w:pPr>
              <w:cnfStyle w:val="000000100000" w:firstRow="0" w:lastRow="0" w:firstColumn="0" w:lastColumn="0" w:oddVBand="0" w:evenVBand="0" w:oddHBand="1" w:evenHBand="0" w:firstRowFirstColumn="0" w:firstRowLastColumn="0" w:lastRowFirstColumn="0" w:lastRowLastColumn="0"/>
            </w:pPr>
          </w:p>
        </w:tc>
      </w:tr>
    </w:tbl>
    <w:p w14:paraId="7D9D1696" w14:textId="77777777" w:rsidR="00DA0DB2" w:rsidRDefault="00DA0DB2">
      <w:pPr>
        <w:rPr>
          <w:sz w:val="20"/>
          <w:szCs w:val="20"/>
        </w:rPr>
      </w:pPr>
    </w:p>
    <w:p w14:paraId="526795CD" w14:textId="57B283BD" w:rsidR="00187A9C" w:rsidRDefault="00DA0DB2">
      <w:pPr>
        <w:rPr>
          <w:sz w:val="20"/>
          <w:szCs w:val="20"/>
        </w:rPr>
      </w:pPr>
      <w:r>
        <w:rPr>
          <w:sz w:val="20"/>
          <w:szCs w:val="20"/>
        </w:rPr>
        <w:t xml:space="preserve">After receiving the referral it is </w:t>
      </w:r>
      <w:r w:rsidRPr="00DA0DB2">
        <w:rPr>
          <w:b/>
          <w:sz w:val="20"/>
          <w:szCs w:val="20"/>
        </w:rPr>
        <w:t>your responsibility</w:t>
      </w:r>
      <w:r w:rsidR="00ED1180">
        <w:rPr>
          <w:sz w:val="20"/>
          <w:szCs w:val="20"/>
        </w:rPr>
        <w:t xml:space="preserve"> to contact the patient </w:t>
      </w:r>
      <w:r>
        <w:rPr>
          <w:sz w:val="20"/>
          <w:szCs w:val="20"/>
        </w:rPr>
        <w:t xml:space="preserve">to agree a time for the consultation. This ensures they are not kept waiting and helps you manage your workload. </w:t>
      </w:r>
      <w:r w:rsidR="00B571B0" w:rsidRPr="00FD00FD">
        <w:rPr>
          <w:sz w:val="20"/>
          <w:szCs w:val="20"/>
        </w:rPr>
        <w:t xml:space="preserve">When managing requests through </w:t>
      </w:r>
      <w:r w:rsidR="00ED1180">
        <w:rPr>
          <w:sz w:val="20"/>
          <w:szCs w:val="20"/>
        </w:rPr>
        <w:t>GP</w:t>
      </w:r>
      <w:r w:rsidR="00B571B0" w:rsidRPr="00FD00FD">
        <w:rPr>
          <w:sz w:val="20"/>
          <w:szCs w:val="20"/>
        </w:rPr>
        <w:t xml:space="preserve">CPCS for minor illnesses, you should deal with the patient </w:t>
      </w:r>
      <w:r w:rsidR="00580CEB">
        <w:rPr>
          <w:sz w:val="20"/>
          <w:szCs w:val="20"/>
        </w:rPr>
        <w:t>using your professional knowledge and skil</w:t>
      </w:r>
      <w:r w:rsidR="00124A4E">
        <w:rPr>
          <w:sz w:val="20"/>
          <w:szCs w:val="20"/>
        </w:rPr>
        <w:t>ls, examining and taking a history as needed</w:t>
      </w:r>
      <w:r w:rsidR="00B571B0" w:rsidRPr="00FD00FD">
        <w:rPr>
          <w:sz w:val="20"/>
          <w:szCs w:val="20"/>
        </w:rPr>
        <w:t>.</w:t>
      </w:r>
      <w:r w:rsidR="00DA07DD">
        <w:rPr>
          <w:sz w:val="20"/>
          <w:szCs w:val="20"/>
        </w:rPr>
        <w:t xml:space="preserve"> Look for red flags and use Clinical Knowledge Summaries to support any decisions.</w:t>
      </w:r>
      <w:r w:rsidR="00B571B0" w:rsidRPr="00FD00FD">
        <w:rPr>
          <w:sz w:val="20"/>
          <w:szCs w:val="20"/>
        </w:rPr>
        <w:t xml:space="preserve"> Provide advice, sell a product or triage and refer as appropriate following consultation (in the consultation room). You may receive </w:t>
      </w:r>
      <w:r w:rsidR="00ED1180" w:rsidRPr="00FD00FD">
        <w:rPr>
          <w:sz w:val="20"/>
          <w:szCs w:val="20"/>
        </w:rPr>
        <w:t>referral</w:t>
      </w:r>
      <w:r w:rsidR="00ED1180">
        <w:rPr>
          <w:sz w:val="20"/>
          <w:szCs w:val="20"/>
        </w:rPr>
        <w:t xml:space="preserve">s that you can’t treat, that is </w:t>
      </w:r>
      <w:r w:rsidR="00B571B0" w:rsidRPr="00FD00FD">
        <w:rPr>
          <w:sz w:val="20"/>
          <w:szCs w:val="20"/>
        </w:rPr>
        <w:t>normal and expected. Your job is to provide the clinical advice on next steps, referring as needed.</w:t>
      </w:r>
      <w:r w:rsidR="005139FD" w:rsidRPr="00FD00FD">
        <w:rPr>
          <w:sz w:val="20"/>
          <w:szCs w:val="20"/>
        </w:rPr>
        <w:t xml:space="preserve"> </w:t>
      </w:r>
      <w:r w:rsidR="00A602D1">
        <w:rPr>
          <w:sz w:val="20"/>
          <w:szCs w:val="20"/>
        </w:rPr>
        <w:t xml:space="preserve"> For all consultations an important element of the service is to provide self-care advice for the presenting condition and </w:t>
      </w:r>
      <w:r w:rsidR="0006329F">
        <w:rPr>
          <w:sz w:val="20"/>
          <w:szCs w:val="20"/>
        </w:rPr>
        <w:t xml:space="preserve">the purpose of this </w:t>
      </w:r>
      <w:r w:rsidR="00A602D1">
        <w:rPr>
          <w:sz w:val="20"/>
          <w:szCs w:val="20"/>
        </w:rPr>
        <w:t xml:space="preserve">is to re-educate patients to approach the right </w:t>
      </w:r>
      <w:r w:rsidR="0006329F">
        <w:rPr>
          <w:sz w:val="20"/>
          <w:szCs w:val="20"/>
        </w:rPr>
        <w:t>healthcare professional in the first place.</w:t>
      </w:r>
    </w:p>
    <w:p w14:paraId="3D47F95A" w14:textId="6FE4D6A0" w:rsidR="00ED1180" w:rsidRDefault="00ED1180">
      <w:pPr>
        <w:rPr>
          <w:sz w:val="20"/>
          <w:szCs w:val="20"/>
        </w:rPr>
      </w:pPr>
      <w:r>
        <w:rPr>
          <w:sz w:val="20"/>
          <w:szCs w:val="20"/>
        </w:rPr>
        <w:t>Every consultation will result in one of four outcomes:</w:t>
      </w:r>
    </w:p>
    <w:p w14:paraId="43D57B37" w14:textId="390ABCAD" w:rsidR="00ED1180" w:rsidRPr="00A602D1" w:rsidRDefault="00ED1180">
      <w:pPr>
        <w:rPr>
          <w:b/>
          <w:sz w:val="20"/>
          <w:szCs w:val="20"/>
        </w:rPr>
      </w:pPr>
      <w:r w:rsidRPr="00A602D1">
        <w:rPr>
          <w:b/>
          <w:sz w:val="20"/>
          <w:szCs w:val="20"/>
        </w:rPr>
        <w:t>Advice only, OTC sale and advice, re-escalation back to practice, onward referral to urgent care</w:t>
      </w:r>
    </w:p>
    <w:p w14:paraId="726457DC" w14:textId="77777777" w:rsidR="00ED1180" w:rsidRDefault="00ED1180">
      <w:pPr>
        <w:rPr>
          <w:b/>
          <w:sz w:val="28"/>
          <w:szCs w:val="28"/>
        </w:rPr>
      </w:pPr>
    </w:p>
    <w:p w14:paraId="0E8B8CD5" w14:textId="77777777" w:rsidR="00ED1180" w:rsidRDefault="00ED1180">
      <w:pPr>
        <w:rPr>
          <w:b/>
          <w:sz w:val="28"/>
          <w:szCs w:val="28"/>
        </w:rPr>
      </w:pPr>
    </w:p>
    <w:p w14:paraId="6A9F4E73" w14:textId="77777777" w:rsidR="00ED1180" w:rsidRPr="00ED1180" w:rsidRDefault="00ED1180">
      <w:pPr>
        <w:rPr>
          <w:b/>
          <w:sz w:val="28"/>
          <w:szCs w:val="28"/>
        </w:rPr>
      </w:pPr>
      <w:r w:rsidRPr="00ED1180">
        <w:rPr>
          <w:b/>
          <w:sz w:val="28"/>
          <w:szCs w:val="28"/>
        </w:rPr>
        <w:t>Hints and Tips</w:t>
      </w:r>
    </w:p>
    <w:p w14:paraId="72FEF108" w14:textId="77777777" w:rsidR="00A602D1" w:rsidRDefault="00ED1180">
      <w:pPr>
        <w:rPr>
          <w:sz w:val="20"/>
          <w:szCs w:val="20"/>
        </w:rPr>
      </w:pPr>
      <w:r>
        <w:rPr>
          <w:sz w:val="20"/>
          <w:szCs w:val="20"/>
        </w:rPr>
        <w:t xml:space="preserve">It is important to explain to the patient how long they should expect their symptoms to last – this avoids them approaching the practice again after a couple of days when the symptoms are expected to </w:t>
      </w:r>
      <w:r w:rsidR="00A602D1">
        <w:rPr>
          <w:sz w:val="20"/>
          <w:szCs w:val="20"/>
        </w:rPr>
        <w:t xml:space="preserve">potentially </w:t>
      </w:r>
      <w:r>
        <w:rPr>
          <w:sz w:val="20"/>
          <w:szCs w:val="20"/>
        </w:rPr>
        <w:t>last for up to 7 days.</w:t>
      </w:r>
    </w:p>
    <w:p w14:paraId="20A16C01" w14:textId="77777777" w:rsidR="00A602D1" w:rsidRDefault="00A602D1">
      <w:pPr>
        <w:rPr>
          <w:sz w:val="20"/>
          <w:szCs w:val="20"/>
        </w:rPr>
      </w:pPr>
      <w:r>
        <w:rPr>
          <w:sz w:val="20"/>
          <w:szCs w:val="20"/>
        </w:rPr>
        <w:t>Always use the safety net statement of ‘if your symptoms do not improve after (specified time) then either come back and see me or speak to your GP.</w:t>
      </w:r>
    </w:p>
    <w:p w14:paraId="110C2844" w14:textId="0C9BE12B" w:rsidR="00A602D1" w:rsidRDefault="00A602D1">
      <w:pPr>
        <w:rPr>
          <w:sz w:val="20"/>
          <w:szCs w:val="20"/>
        </w:rPr>
      </w:pPr>
      <w:r>
        <w:rPr>
          <w:sz w:val="20"/>
          <w:szCs w:val="20"/>
        </w:rPr>
        <w:t>If you need to re-escalate back to the practice, do so by using either their direct dial number or via their nominated email address (check with pharmacy team) Don’t send the patient back to the practice without making a prior appointment for them in advance. This is to avoid the potential for misinterpretation when you suggest they need an appointment within 7 days and this is translated to same day urgent appointment!</w:t>
      </w:r>
    </w:p>
    <w:p w14:paraId="2F03A3BF" w14:textId="1833EC84" w:rsidR="00502948" w:rsidRDefault="00502948">
      <w:pPr>
        <w:rPr>
          <w:sz w:val="20"/>
          <w:szCs w:val="20"/>
        </w:rPr>
      </w:pPr>
      <w:r>
        <w:rPr>
          <w:sz w:val="20"/>
          <w:szCs w:val="20"/>
        </w:rPr>
        <w:t>If patients refuse to pay for OTC products don’t send them back for a prescription. Just update the consultation notes to reflect the refusal to buy the product offered. Explain to the patient that OTC items are no longer being supplied on prescription as per Devon CCG protocol.</w:t>
      </w:r>
    </w:p>
    <w:p w14:paraId="261DA851" w14:textId="1A7172ED" w:rsidR="00CA1256" w:rsidRDefault="00187A9C">
      <w:pPr>
        <w:rPr>
          <w:sz w:val="20"/>
          <w:szCs w:val="20"/>
        </w:rPr>
      </w:pPr>
      <w:r w:rsidRPr="00FD00FD">
        <w:rPr>
          <w:sz w:val="20"/>
          <w:szCs w:val="20"/>
        </w:rPr>
        <w:t xml:space="preserve">Within </w:t>
      </w:r>
      <w:r w:rsidR="00E80722">
        <w:rPr>
          <w:sz w:val="20"/>
          <w:szCs w:val="20"/>
        </w:rPr>
        <w:t>Devon</w:t>
      </w:r>
      <w:r w:rsidRPr="00FD00FD">
        <w:rPr>
          <w:sz w:val="20"/>
          <w:szCs w:val="20"/>
        </w:rPr>
        <w:t xml:space="preserve"> there are a number of other services that might be appropriate during this service. For example, when </w:t>
      </w:r>
      <w:r w:rsidR="00CA1256" w:rsidRPr="00FD00FD">
        <w:rPr>
          <w:sz w:val="20"/>
          <w:szCs w:val="20"/>
        </w:rPr>
        <w:t xml:space="preserve">assessing the </w:t>
      </w:r>
      <w:r w:rsidR="00A43093" w:rsidRPr="00FD00FD">
        <w:rPr>
          <w:sz w:val="20"/>
          <w:szCs w:val="20"/>
        </w:rPr>
        <w:t>patient,</w:t>
      </w:r>
      <w:r w:rsidR="00CA1256" w:rsidRPr="00FD00FD">
        <w:rPr>
          <w:sz w:val="20"/>
          <w:szCs w:val="20"/>
        </w:rPr>
        <w:t xml:space="preserve"> the situation may require supply of a POM through a minor ailments service.</w:t>
      </w:r>
      <w:r w:rsidR="006069BD">
        <w:rPr>
          <w:sz w:val="20"/>
          <w:szCs w:val="20"/>
        </w:rPr>
        <w:t xml:space="preserve"> </w:t>
      </w:r>
      <w:r w:rsidR="00CA1256" w:rsidRPr="00FD00FD">
        <w:rPr>
          <w:sz w:val="20"/>
          <w:szCs w:val="20"/>
        </w:rPr>
        <w:t xml:space="preserve">Details of the services available locally are on the LPCs website: </w:t>
      </w:r>
      <w:hyperlink r:id="rId10" w:history="1">
        <w:r w:rsidR="00E80722" w:rsidRPr="003B5347">
          <w:rPr>
            <w:rStyle w:val="Hyperlink"/>
            <w:sz w:val="20"/>
            <w:szCs w:val="20"/>
          </w:rPr>
          <w:t>https://devonlpc.org/locally-commissioned-services/</w:t>
        </w:r>
      </w:hyperlink>
    </w:p>
    <w:sectPr w:rsidR="00CA125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8D1C3" w14:textId="77777777" w:rsidR="00A602D1" w:rsidRDefault="00A602D1" w:rsidP="00CA1256">
      <w:pPr>
        <w:spacing w:after="0" w:line="240" w:lineRule="auto"/>
      </w:pPr>
      <w:r>
        <w:separator/>
      </w:r>
    </w:p>
  </w:endnote>
  <w:endnote w:type="continuationSeparator" w:id="0">
    <w:p w14:paraId="07967DBA" w14:textId="77777777" w:rsidR="00A602D1" w:rsidRDefault="00A602D1" w:rsidP="00CA1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590EB" w14:textId="77777777" w:rsidR="00A602D1" w:rsidRDefault="00A602D1" w:rsidP="00CA1256">
      <w:pPr>
        <w:spacing w:after="0" w:line="240" w:lineRule="auto"/>
      </w:pPr>
      <w:r>
        <w:separator/>
      </w:r>
    </w:p>
  </w:footnote>
  <w:footnote w:type="continuationSeparator" w:id="0">
    <w:p w14:paraId="5191A8FD" w14:textId="77777777" w:rsidR="00A602D1" w:rsidRDefault="00A602D1" w:rsidP="00CA1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C3294" w14:textId="5B2C2437" w:rsidR="00A602D1" w:rsidRDefault="00A602D1">
    <w:pPr>
      <w:pStyle w:val="Header"/>
    </w:pPr>
    <w:r>
      <w:rPr>
        <w:rFonts w:ascii="Calibri" w:eastAsia="Times New Roman" w:hAnsi="Calibri" w:cs="Calibri"/>
        <w:noProof/>
        <w:kern w:val="28"/>
        <w:sz w:val="36"/>
        <w:szCs w:val="36"/>
        <w:lang w:val="en-US"/>
      </w:rPr>
      <w:drawing>
        <wp:inline distT="0" distB="0" distL="0" distR="0" wp14:anchorId="477634F6" wp14:editId="1CDA9930">
          <wp:extent cx="1323975" cy="504825"/>
          <wp:effectExtent l="0" t="0" r="9525" b="9525"/>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3975" cy="5048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BA2"/>
    <w:rsid w:val="0006329F"/>
    <w:rsid w:val="00124A4E"/>
    <w:rsid w:val="00187A9C"/>
    <w:rsid w:val="001C3DAA"/>
    <w:rsid w:val="003824CB"/>
    <w:rsid w:val="00502948"/>
    <w:rsid w:val="00506F14"/>
    <w:rsid w:val="005139FD"/>
    <w:rsid w:val="00562859"/>
    <w:rsid w:val="00580CEB"/>
    <w:rsid w:val="006069BD"/>
    <w:rsid w:val="006C11BF"/>
    <w:rsid w:val="00721BA2"/>
    <w:rsid w:val="007767FA"/>
    <w:rsid w:val="007B4808"/>
    <w:rsid w:val="00A43093"/>
    <w:rsid w:val="00A602D1"/>
    <w:rsid w:val="00B571B0"/>
    <w:rsid w:val="00BA3143"/>
    <w:rsid w:val="00C149DA"/>
    <w:rsid w:val="00C955E5"/>
    <w:rsid w:val="00CA1256"/>
    <w:rsid w:val="00D82C72"/>
    <w:rsid w:val="00DA07DD"/>
    <w:rsid w:val="00DA0DB2"/>
    <w:rsid w:val="00E157CB"/>
    <w:rsid w:val="00E42C7E"/>
    <w:rsid w:val="00E80722"/>
    <w:rsid w:val="00ED1180"/>
    <w:rsid w:val="00F47B0C"/>
    <w:rsid w:val="00FD00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3666C0"/>
  <w15:docId w15:val="{126D9C88-38B9-4EB6-ADC4-08873D93E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187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187A9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sid w:val="00187A9C"/>
    <w:rPr>
      <w:color w:val="0000FF"/>
      <w:u w:val="single"/>
    </w:rPr>
  </w:style>
  <w:style w:type="character" w:customStyle="1" w:styleId="UnresolvedMention1">
    <w:name w:val="Unresolved Mention1"/>
    <w:basedOn w:val="DefaultParagraphFont"/>
    <w:uiPriority w:val="99"/>
    <w:semiHidden/>
    <w:unhideWhenUsed/>
    <w:rsid w:val="00CA1256"/>
    <w:rPr>
      <w:color w:val="605E5C"/>
      <w:shd w:val="clear" w:color="auto" w:fill="E1DFDD"/>
    </w:rPr>
  </w:style>
  <w:style w:type="paragraph" w:styleId="Header">
    <w:name w:val="header"/>
    <w:basedOn w:val="Normal"/>
    <w:link w:val="HeaderChar"/>
    <w:uiPriority w:val="99"/>
    <w:unhideWhenUsed/>
    <w:rsid w:val="00CA1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256"/>
  </w:style>
  <w:style w:type="paragraph" w:styleId="Footer">
    <w:name w:val="footer"/>
    <w:basedOn w:val="Normal"/>
    <w:link w:val="FooterChar"/>
    <w:uiPriority w:val="99"/>
    <w:unhideWhenUsed/>
    <w:rsid w:val="00CA1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256"/>
  </w:style>
  <w:style w:type="paragraph" w:styleId="BalloonText">
    <w:name w:val="Balloon Text"/>
    <w:basedOn w:val="Normal"/>
    <w:link w:val="BalloonTextChar"/>
    <w:uiPriority w:val="99"/>
    <w:semiHidden/>
    <w:unhideWhenUsed/>
    <w:rsid w:val="00DA0DB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A0DB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evonlpc.org/locally-commissioned-services/" TargetMode="External"/><Relationship Id="rId4" Type="http://schemas.openxmlformats.org/officeDocument/2006/relationships/styles" Target="styles.xml"/><Relationship Id="rId9" Type="http://schemas.openxmlformats.org/officeDocument/2006/relationships/hyperlink" Target="https://finder.directoryofservices.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9E0A4B0566C649B1A298527379E0FD" ma:contentTypeVersion="10" ma:contentTypeDescription="Create a new document." ma:contentTypeScope="" ma:versionID="bfbcd1de0e922af865a46391099657d7">
  <xsd:schema xmlns:xsd="http://www.w3.org/2001/XMLSchema" xmlns:xs="http://www.w3.org/2001/XMLSchema" xmlns:p="http://schemas.microsoft.com/office/2006/metadata/properties" xmlns:ns3="9dcaec17-5d8f-43c1-a4ee-1a9e46bba7c8" xmlns:ns4="f0963c83-d199-45a8-b61c-13bb4d541b15" targetNamespace="http://schemas.microsoft.com/office/2006/metadata/properties" ma:root="true" ma:fieldsID="2ed2d99a8a69044847f8fd818ffeeac8" ns3:_="" ns4:_="">
    <xsd:import namespace="9dcaec17-5d8f-43c1-a4ee-1a9e46bba7c8"/>
    <xsd:import namespace="f0963c83-d199-45a8-b61c-13bb4d541b1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aec17-5d8f-43c1-a4ee-1a9e46bba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963c83-d199-45a8-b61c-13bb4d541b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6A306F-786F-4502-B3D4-9CDB7C745B51}">
  <ds:schemaRefs>
    <ds:schemaRef ds:uri="http://schemas.microsoft.com/sharepoint/v3/contenttype/forms"/>
  </ds:schemaRefs>
</ds:datastoreItem>
</file>

<file path=customXml/itemProps2.xml><?xml version="1.0" encoding="utf-8"?>
<ds:datastoreItem xmlns:ds="http://schemas.openxmlformats.org/officeDocument/2006/customXml" ds:itemID="{5E387A3F-46DE-428A-91A3-3551D6543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aec17-5d8f-43c1-a4ee-1a9e46bba7c8"/>
    <ds:schemaRef ds:uri="f0963c83-d199-45a8-b61c-13bb4d541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6B8916-D03B-4BF8-A288-E4D5E2991A99}">
  <ds:schemaRefs>
    <ds:schemaRef ds:uri="http://www.w3.org/XML/1998/namespace"/>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f0963c83-d199-45a8-b61c-13bb4d541b15"/>
    <ds:schemaRef ds:uri="9dcaec17-5d8f-43c1-a4ee-1a9e46bba7c8"/>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Thayer</dc:creator>
  <cp:keywords/>
  <dc:description/>
  <cp:lastModifiedBy>Kathryn Jones</cp:lastModifiedBy>
  <cp:revision>2</cp:revision>
  <dcterms:created xsi:type="dcterms:W3CDTF">2021-08-10T07:51:00Z</dcterms:created>
  <dcterms:modified xsi:type="dcterms:W3CDTF">2021-08-10T07:51:00Z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0x010100EC9E0A4B0566C649B1A298527379E0FD</vt:lpwstr>
  </property>
</Properties>
</file>