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185CA" w14:textId="53765E2A" w:rsidR="00A72A35" w:rsidRDefault="00A72A35" w:rsidP="007E23A8"/>
    <w:p w14:paraId="4B28E055" w14:textId="77777777" w:rsidR="00A72A35" w:rsidRPr="00790CB6" w:rsidRDefault="00A72A35" w:rsidP="005F7621">
      <w:pPr>
        <w:pStyle w:val="NormalWeb"/>
        <w:spacing w:before="120" w:beforeAutospacing="0" w:after="120" w:afterAutospacing="0"/>
        <w:jc w:val="center"/>
        <w:rPr>
          <w:rFonts w:asciiTheme="minorHAnsi" w:eastAsiaTheme="minorHAnsi" w:hAnsiTheme="minorHAnsi" w:cstheme="minorBidi"/>
          <w:b/>
          <w:bCs/>
          <w:sz w:val="32"/>
          <w:szCs w:val="32"/>
          <w:lang w:val="en-US" w:eastAsia="en-US"/>
        </w:rPr>
      </w:pPr>
      <w:r w:rsidRPr="00790CB6">
        <w:rPr>
          <w:rFonts w:asciiTheme="minorHAnsi" w:eastAsiaTheme="minorHAnsi" w:hAnsiTheme="minorHAnsi" w:cstheme="minorBidi"/>
          <w:b/>
          <w:bCs/>
          <w:sz w:val="32"/>
          <w:szCs w:val="32"/>
          <w:lang w:val="en-US" w:eastAsia="en-US"/>
        </w:rPr>
        <w:t>New LPC Constitution</w:t>
      </w:r>
    </w:p>
    <w:p w14:paraId="46000A41" w14:textId="55F38141" w:rsidR="464CE871" w:rsidRPr="00F33152" w:rsidRDefault="00A72A35" w:rsidP="005F7621">
      <w:pPr>
        <w:pStyle w:val="NormalWeb"/>
        <w:spacing w:before="120" w:beforeAutospacing="0" w:after="120" w:afterAutospacing="0"/>
        <w:jc w:val="center"/>
        <w:rPr>
          <w:rFonts w:asciiTheme="minorHAnsi" w:eastAsiaTheme="minorEastAsia" w:hAnsiTheme="minorHAnsi" w:cstheme="minorBidi"/>
          <w:b/>
          <w:sz w:val="32"/>
          <w:szCs w:val="32"/>
          <w:lang w:val="en-US" w:eastAsia="en-US"/>
        </w:rPr>
      </w:pPr>
      <w:r w:rsidRPr="464CE871">
        <w:rPr>
          <w:rFonts w:asciiTheme="minorHAnsi" w:eastAsiaTheme="minorEastAsia" w:hAnsiTheme="minorHAnsi" w:cstheme="minorBidi"/>
          <w:b/>
          <w:sz w:val="32"/>
          <w:szCs w:val="32"/>
          <w:lang w:val="en-US" w:eastAsia="en-US"/>
        </w:rPr>
        <w:t xml:space="preserve">Outline of </w:t>
      </w:r>
      <w:r w:rsidR="2AC9F85E" w:rsidRPr="464CE871">
        <w:rPr>
          <w:rFonts w:asciiTheme="minorHAnsi" w:eastAsiaTheme="minorEastAsia" w:hAnsiTheme="minorHAnsi" w:cstheme="minorBidi"/>
          <w:b/>
          <w:bCs/>
          <w:sz w:val="32"/>
          <w:szCs w:val="32"/>
          <w:lang w:val="en-US" w:eastAsia="en-US"/>
        </w:rPr>
        <w:t xml:space="preserve">the </w:t>
      </w:r>
      <w:r w:rsidRPr="464CE871">
        <w:rPr>
          <w:rFonts w:asciiTheme="minorHAnsi" w:eastAsiaTheme="minorEastAsia" w:hAnsiTheme="minorHAnsi" w:cstheme="minorBidi"/>
          <w:b/>
          <w:sz w:val="32"/>
          <w:szCs w:val="32"/>
          <w:lang w:val="en-US" w:eastAsia="en-US"/>
        </w:rPr>
        <w:t>main changes</w:t>
      </w:r>
    </w:p>
    <w:p w14:paraId="2E00A38A" w14:textId="4D238AB2" w:rsidR="00D0248E" w:rsidRPr="00261275" w:rsidRDefault="00A72A35" w:rsidP="005F7621">
      <w:pPr>
        <w:pStyle w:val="NormalWeb"/>
        <w:spacing w:before="120" w:beforeAutospacing="0" w:after="120" w:afterAutospacing="0"/>
        <w:rPr>
          <w:rFonts w:asciiTheme="minorHAnsi" w:eastAsiaTheme="minorEastAsia" w:hAnsiTheme="minorHAnsi" w:cstheme="minorBidi"/>
          <w:b/>
          <w:bCs/>
          <w:lang w:val="en-US" w:eastAsia="en-US"/>
        </w:rPr>
      </w:pPr>
      <w:r w:rsidRPr="5B6E790D">
        <w:rPr>
          <w:rFonts w:asciiTheme="minorHAnsi" w:eastAsiaTheme="minorEastAsia" w:hAnsiTheme="minorHAnsi" w:cstheme="minorBidi"/>
          <w:b/>
          <w:lang w:val="en-US" w:eastAsia="en-US"/>
        </w:rPr>
        <w:t>Your LPC is here to ensure that you, as a local contractor, are represented equitably and effectively.</w:t>
      </w:r>
      <w:r w:rsidR="00261275">
        <w:rPr>
          <w:rFonts w:asciiTheme="minorHAnsi" w:eastAsiaTheme="minorEastAsia" w:hAnsiTheme="minorHAnsi" w:cstheme="minorBidi"/>
          <w:b/>
          <w:lang w:val="en-US" w:eastAsia="en-US"/>
        </w:rPr>
        <w:t xml:space="preserve"> </w:t>
      </w:r>
      <w:r w:rsidRPr="5B6E790D">
        <w:rPr>
          <w:rFonts w:asciiTheme="minorHAnsi" w:eastAsiaTheme="minorEastAsia" w:hAnsiTheme="minorHAnsi" w:cstheme="minorBidi"/>
          <w:b/>
          <w:lang w:val="en-US" w:eastAsia="en-US"/>
        </w:rPr>
        <w:t>Your LPC negotiates on your behalf</w:t>
      </w:r>
      <w:r w:rsidR="006810A1" w:rsidRPr="5B6E790D">
        <w:rPr>
          <w:rFonts w:asciiTheme="minorHAnsi" w:eastAsiaTheme="minorEastAsia" w:hAnsiTheme="minorHAnsi" w:cstheme="minorBidi"/>
          <w:b/>
          <w:lang w:val="en-US" w:eastAsia="en-US"/>
        </w:rPr>
        <w:t xml:space="preserve"> with local Government and the NHS</w:t>
      </w:r>
      <w:r w:rsidRPr="5B6E790D">
        <w:rPr>
          <w:rFonts w:asciiTheme="minorHAnsi" w:eastAsiaTheme="minorEastAsia" w:hAnsiTheme="minorHAnsi" w:cstheme="minorBidi"/>
          <w:b/>
          <w:lang w:val="en-US" w:eastAsia="en-US"/>
        </w:rPr>
        <w:t xml:space="preserve">, and champions community pharmacy and the great service you provide. </w:t>
      </w:r>
    </w:p>
    <w:p w14:paraId="03FC841B" w14:textId="72EACAF3" w:rsidR="00122DFE" w:rsidRDefault="008671CF" w:rsidP="005F7621">
      <w:pPr>
        <w:pStyle w:val="NormalWeb"/>
        <w:spacing w:before="120" w:beforeAutospacing="0" w:after="120" w:afterAutospacing="0"/>
        <w:rPr>
          <w:rFonts w:asciiTheme="minorHAnsi" w:eastAsiaTheme="minorEastAsia" w:hAnsiTheme="minorHAnsi" w:cstheme="minorBidi"/>
          <w:b/>
          <w:lang w:val="en-US" w:eastAsia="en-US"/>
        </w:rPr>
      </w:pPr>
      <w:r w:rsidRPr="00C26675">
        <w:rPr>
          <w:rFonts w:asciiTheme="minorHAnsi" w:eastAsiaTheme="minorEastAsia" w:hAnsiTheme="minorHAnsi" w:cstheme="minorBidi"/>
          <w:b/>
          <w:lang w:val="en-US" w:eastAsia="en-US"/>
        </w:rPr>
        <w:t xml:space="preserve">Review Steering Group (RSG) </w:t>
      </w:r>
      <w:r w:rsidR="00122DFE" w:rsidRPr="00C26675">
        <w:rPr>
          <w:rFonts w:asciiTheme="minorHAnsi" w:eastAsiaTheme="minorEastAsia" w:hAnsiTheme="minorHAnsi" w:cstheme="minorBidi"/>
          <w:b/>
          <w:lang w:val="en-US" w:eastAsia="en-US"/>
        </w:rPr>
        <w:t xml:space="preserve">proposals that were </w:t>
      </w:r>
      <w:r w:rsidRPr="00C26675">
        <w:rPr>
          <w:rFonts w:asciiTheme="minorHAnsi" w:eastAsiaTheme="minorEastAsia" w:hAnsiTheme="minorHAnsi" w:cstheme="minorBidi"/>
          <w:b/>
          <w:lang w:val="en-US" w:eastAsia="en-US"/>
        </w:rPr>
        <w:t>supported by an overwhelming majority of community pharmacy contractors in a national vote in June 2022</w:t>
      </w:r>
      <w:r w:rsidR="00122DFE" w:rsidRPr="00C26675">
        <w:rPr>
          <w:rFonts w:asciiTheme="minorHAnsi" w:eastAsiaTheme="minorEastAsia" w:hAnsiTheme="minorHAnsi" w:cstheme="minorBidi"/>
          <w:b/>
          <w:lang w:val="en-US" w:eastAsia="en-US"/>
        </w:rPr>
        <w:t>, PSNC and LPCs now need to take forward the changes, with the goal that contractors have a better relationship with, and more oversight of, stronger and more appropriately resourced national and local representatives.</w:t>
      </w:r>
    </w:p>
    <w:p w14:paraId="1580396F" w14:textId="77777777" w:rsidR="00BC586B" w:rsidRPr="000E5558" w:rsidRDefault="00261275" w:rsidP="005F7621">
      <w:pPr>
        <w:pStyle w:val="NormalWeb"/>
        <w:spacing w:before="120" w:beforeAutospacing="0" w:after="120" w:afterAutospacing="0"/>
        <w:rPr>
          <w:rFonts w:asciiTheme="minorHAnsi" w:eastAsiaTheme="minorEastAsia" w:hAnsiTheme="minorHAnsi" w:cstheme="minorBidi"/>
          <w:b/>
          <w:lang w:val="en-US" w:eastAsia="en-US"/>
        </w:rPr>
      </w:pPr>
      <w:r>
        <w:rPr>
          <w:rFonts w:asciiTheme="minorHAnsi" w:eastAsiaTheme="minorEastAsia" w:hAnsiTheme="minorHAnsi" w:cstheme="minorBidi"/>
          <w:b/>
        </w:rPr>
        <w:t>To enable some of the changes,</w:t>
      </w:r>
      <w:r w:rsidR="00BC586B">
        <w:rPr>
          <w:rFonts w:asciiTheme="minorHAnsi" w:eastAsiaTheme="minorEastAsia" w:hAnsiTheme="minorHAnsi" w:cstheme="minorBidi"/>
          <w:b/>
        </w:rPr>
        <w:t xml:space="preserve"> w</w:t>
      </w:r>
      <w:r w:rsidRPr="5B6E790D">
        <w:rPr>
          <w:rFonts w:asciiTheme="minorHAnsi" w:eastAsiaTheme="minorEastAsia" w:hAnsiTheme="minorHAnsi" w:cstheme="minorBidi"/>
          <w:b/>
          <w:lang w:val="en-US" w:eastAsia="en-US"/>
        </w:rPr>
        <w:t>e need to make sure that the rules under which we work for you are up to date and fit for purpose.</w:t>
      </w:r>
      <w:r w:rsidR="00BC586B">
        <w:rPr>
          <w:rFonts w:asciiTheme="minorHAnsi" w:eastAsiaTheme="minorEastAsia" w:hAnsiTheme="minorHAnsi" w:cstheme="minorBidi"/>
          <w:b/>
        </w:rPr>
        <w:t xml:space="preserve"> We now need to </w:t>
      </w:r>
      <w:r w:rsidR="00BC586B">
        <w:rPr>
          <w:rFonts w:asciiTheme="minorHAnsi" w:eastAsiaTheme="minorEastAsia" w:hAnsiTheme="minorHAnsi" w:cstheme="minorBidi"/>
          <w:b/>
          <w:lang w:val="en-US" w:eastAsia="en-US"/>
        </w:rPr>
        <w:t>we</w:t>
      </w:r>
      <w:r w:rsidR="00BC586B" w:rsidRPr="5B6E790D">
        <w:rPr>
          <w:rFonts w:asciiTheme="minorHAnsi" w:eastAsiaTheme="minorEastAsia" w:hAnsiTheme="minorHAnsi" w:cstheme="minorBidi"/>
          <w:b/>
          <w:lang w:val="en-US" w:eastAsia="en-US"/>
        </w:rPr>
        <w:t xml:space="preserve"> need to update those rules - the LPC constitution- to make sure that you have the best </w:t>
      </w:r>
      <w:r w:rsidR="00BC586B" w:rsidRPr="5B6E790D">
        <w:rPr>
          <w:rFonts w:asciiTheme="minorHAnsi" w:eastAsiaTheme="minorEastAsia" w:hAnsiTheme="minorHAnsi" w:cstheme="minorBidi"/>
          <w:b/>
          <w:bCs/>
          <w:lang w:val="en-US" w:eastAsia="en-US"/>
        </w:rPr>
        <w:t>structure</w:t>
      </w:r>
      <w:r w:rsidR="00BC586B" w:rsidRPr="464CE871">
        <w:rPr>
          <w:rFonts w:asciiTheme="minorHAnsi" w:eastAsiaTheme="minorEastAsia" w:hAnsiTheme="minorHAnsi" w:cstheme="minorBidi"/>
          <w:b/>
          <w:bCs/>
          <w:lang w:val="en-US" w:eastAsia="en-US"/>
        </w:rPr>
        <w:t>, governance arrangements</w:t>
      </w:r>
      <w:r w:rsidR="00BC586B" w:rsidRPr="5B6E790D">
        <w:rPr>
          <w:rFonts w:asciiTheme="minorHAnsi" w:eastAsiaTheme="minorEastAsia" w:hAnsiTheme="minorHAnsi" w:cstheme="minorBidi"/>
          <w:b/>
          <w:bCs/>
          <w:lang w:val="en-US" w:eastAsia="en-US"/>
        </w:rPr>
        <w:t xml:space="preserve"> and </w:t>
      </w:r>
      <w:r w:rsidR="00BC586B" w:rsidRPr="5B6E790D">
        <w:rPr>
          <w:rFonts w:asciiTheme="minorHAnsi" w:eastAsiaTheme="minorEastAsia" w:hAnsiTheme="minorHAnsi" w:cstheme="minorBidi"/>
          <w:b/>
          <w:lang w:val="en-US" w:eastAsia="en-US"/>
        </w:rPr>
        <w:t>team to work on your behalf.</w:t>
      </w:r>
    </w:p>
    <w:p w14:paraId="13197240" w14:textId="77777777" w:rsidR="005F7621" w:rsidRDefault="00A72A35" w:rsidP="005F7621">
      <w:pPr>
        <w:pStyle w:val="NormalWeb"/>
        <w:spacing w:before="120" w:beforeAutospacing="0" w:after="120" w:afterAutospacing="0"/>
        <w:rPr>
          <w:rFonts w:asciiTheme="minorHAnsi" w:eastAsiaTheme="minorEastAsia" w:hAnsiTheme="minorHAnsi" w:cstheme="minorBidi"/>
          <w:b/>
          <w:lang w:val="en-US" w:eastAsia="en-US"/>
        </w:rPr>
      </w:pPr>
      <w:r w:rsidRPr="5B6E790D">
        <w:rPr>
          <w:rFonts w:asciiTheme="minorHAnsi" w:eastAsiaTheme="minorEastAsia" w:hAnsiTheme="minorHAnsi" w:cstheme="minorBidi"/>
          <w:b/>
          <w:lang w:val="en-US" w:eastAsia="en-US"/>
        </w:rPr>
        <w:t xml:space="preserve">We need your support to make sure we can </w:t>
      </w:r>
      <w:r w:rsidR="54872819" w:rsidRPr="464CE871">
        <w:rPr>
          <w:rFonts w:asciiTheme="minorHAnsi" w:eastAsiaTheme="minorEastAsia" w:hAnsiTheme="minorHAnsi" w:cstheme="minorBidi"/>
          <w:b/>
          <w:bCs/>
          <w:lang w:val="en-US" w:eastAsia="en-US"/>
        </w:rPr>
        <w:t xml:space="preserve">continue to </w:t>
      </w:r>
      <w:r w:rsidRPr="5B6E790D">
        <w:rPr>
          <w:rFonts w:asciiTheme="minorHAnsi" w:eastAsiaTheme="minorEastAsia" w:hAnsiTheme="minorHAnsi" w:cstheme="minorBidi"/>
          <w:b/>
          <w:lang w:val="en-US" w:eastAsia="en-US"/>
        </w:rPr>
        <w:t>represent you. Please say ‘Yes’ to the changes your LPC is proposing</w:t>
      </w:r>
    </w:p>
    <w:p w14:paraId="53AF1226" w14:textId="3417BAF6" w:rsidR="00D3445A" w:rsidRDefault="00A72A35" w:rsidP="005F7621">
      <w:pPr>
        <w:pStyle w:val="NormalWeb"/>
        <w:spacing w:before="120" w:beforeAutospacing="0" w:after="120" w:afterAutospacing="0"/>
        <w:rPr>
          <w:rFonts w:asciiTheme="minorHAnsi" w:eastAsiaTheme="minorEastAsia" w:hAnsiTheme="minorHAnsi" w:cstheme="minorBidi"/>
          <w:lang w:val="en-US" w:eastAsia="en-US"/>
        </w:rPr>
      </w:pPr>
      <w:r w:rsidRPr="3F606B0D">
        <w:rPr>
          <w:rFonts w:asciiTheme="minorHAnsi" w:eastAsiaTheme="minorEastAsia" w:hAnsiTheme="minorHAnsi" w:cstheme="minorBidi"/>
          <w:lang w:val="en-US" w:eastAsia="en-US"/>
        </w:rPr>
        <w:t xml:space="preserve">PSNC has drafted a new model constitution for LPCs which your LPC recommends to you. </w:t>
      </w:r>
      <w:r w:rsidR="00562B69">
        <w:rPr>
          <w:rFonts w:asciiTheme="minorHAnsi" w:eastAsiaTheme="minorEastAsia" w:hAnsiTheme="minorHAnsi" w:cstheme="minorBidi"/>
          <w:lang w:val="en-US" w:eastAsia="en-US"/>
        </w:rPr>
        <w:t xml:space="preserve">A </w:t>
      </w:r>
      <w:r w:rsidRPr="3F606B0D">
        <w:rPr>
          <w:rFonts w:asciiTheme="minorHAnsi" w:eastAsiaTheme="minorEastAsia" w:hAnsiTheme="minorHAnsi" w:cstheme="minorBidi"/>
          <w:lang w:val="en-US" w:eastAsia="en-US"/>
        </w:rPr>
        <w:t xml:space="preserve"> copy of the existing LPC constitution and the proposed amended constitution</w:t>
      </w:r>
      <w:r w:rsidR="00562B69">
        <w:rPr>
          <w:rFonts w:asciiTheme="minorHAnsi" w:eastAsiaTheme="minorEastAsia" w:hAnsiTheme="minorHAnsi" w:cstheme="minorBidi"/>
          <w:lang w:val="en-US" w:eastAsia="en-US"/>
        </w:rPr>
        <w:t xml:space="preserve"> can be </w:t>
      </w:r>
      <w:hyperlink r:id="rId7" w:history="1">
        <w:r w:rsidR="00562B69" w:rsidRPr="00D3445A">
          <w:rPr>
            <w:rStyle w:val="Hyperlink"/>
            <w:rFonts w:asciiTheme="minorHAnsi" w:eastAsiaTheme="minorEastAsia" w:hAnsiTheme="minorHAnsi" w:cstheme="minorBidi"/>
            <w:lang w:val="en-US" w:eastAsia="en-US"/>
          </w:rPr>
          <w:t>downloaded from here</w:t>
        </w:r>
      </w:hyperlink>
      <w:r w:rsidR="00562B69">
        <w:rPr>
          <w:rFonts w:asciiTheme="minorHAnsi" w:eastAsiaTheme="minorEastAsia" w:hAnsiTheme="minorHAnsi" w:cstheme="minorBidi"/>
          <w:lang w:val="en-US" w:eastAsia="en-US"/>
        </w:rPr>
        <w:t xml:space="preserve">. </w:t>
      </w:r>
      <w:r w:rsidR="00D3445A">
        <w:rPr>
          <w:rFonts w:asciiTheme="minorHAnsi" w:eastAsiaTheme="minorEastAsia" w:hAnsiTheme="minorHAnsi" w:cstheme="minorBidi"/>
          <w:lang w:val="en-US" w:eastAsia="en-US"/>
        </w:rPr>
        <w:t xml:space="preserve"> (</w:t>
      </w:r>
      <w:hyperlink r:id="rId8" w:history="1">
        <w:r w:rsidR="00D3445A" w:rsidRPr="00D3445A">
          <w:rPr>
            <w:rStyle w:val="Hyperlink"/>
            <w:rFonts w:asciiTheme="minorHAnsi" w:eastAsiaTheme="minorEastAsia" w:hAnsiTheme="minorHAnsi" w:cstheme="minorBidi"/>
            <w:lang w:val="en-US" w:eastAsia="en-US"/>
          </w:rPr>
          <w:t>https://devonlpc.org/about-us/your-lpc/transforming-pharmacy-representation-tapr-programme/)</w:t>
        </w:r>
      </w:hyperlink>
      <w:r w:rsidRPr="3F606B0D">
        <w:rPr>
          <w:rFonts w:asciiTheme="minorHAnsi" w:eastAsiaTheme="minorEastAsia" w:hAnsiTheme="minorHAnsi" w:cstheme="minorBidi"/>
          <w:lang w:val="en-US" w:eastAsia="en-US"/>
        </w:rPr>
        <w:t xml:space="preserve"> </w:t>
      </w:r>
    </w:p>
    <w:p w14:paraId="75EC1697" w14:textId="7B179B55" w:rsidR="3F606B0D" w:rsidRPr="005F7621" w:rsidRDefault="00A72A35" w:rsidP="005F7621">
      <w:pPr>
        <w:pStyle w:val="NormalWeb"/>
        <w:spacing w:before="120" w:beforeAutospacing="0" w:after="120" w:afterAutospacing="0"/>
        <w:rPr>
          <w:rFonts w:asciiTheme="minorHAnsi" w:eastAsiaTheme="minorEastAsia" w:hAnsiTheme="minorHAnsi" w:cstheme="minorBidi"/>
          <w:b/>
          <w:lang w:val="en-US" w:eastAsia="en-US"/>
        </w:rPr>
      </w:pPr>
      <w:r w:rsidRPr="3F606B0D">
        <w:rPr>
          <w:rFonts w:asciiTheme="minorHAnsi" w:eastAsiaTheme="minorEastAsia" w:hAnsiTheme="minorHAnsi" w:cstheme="minorBidi"/>
          <w:lang w:val="en-US" w:eastAsia="en-US"/>
        </w:rPr>
        <w:t>Set out below is an outline of the main changes:</w:t>
      </w:r>
    </w:p>
    <w:p w14:paraId="178BC2B5" w14:textId="17DAF6F3" w:rsidR="00A72A35" w:rsidRPr="005F7621" w:rsidRDefault="00A72A35" w:rsidP="005F7621">
      <w:pPr>
        <w:pStyle w:val="ListParagraph"/>
        <w:numPr>
          <w:ilvl w:val="0"/>
          <w:numId w:val="3"/>
        </w:numPr>
        <w:spacing w:line="276" w:lineRule="auto"/>
        <w:rPr>
          <w:sz w:val="24"/>
          <w:szCs w:val="24"/>
          <w:lang w:val="en-US"/>
        </w:rPr>
      </w:pPr>
      <w:r>
        <w:rPr>
          <w:sz w:val="24"/>
          <w:szCs w:val="24"/>
          <w:lang w:val="en-US"/>
        </w:rPr>
        <w:t>The changes are those mandated by the Review Steering Group (RSG) recommendations that were approved by contractors in England, as well as changes suggested by LPCs and PSNC.</w:t>
      </w:r>
    </w:p>
    <w:p w14:paraId="67B95B8A" w14:textId="40D7B2F8" w:rsidR="00A72A35" w:rsidRDefault="00A72A35" w:rsidP="005F7621">
      <w:pPr>
        <w:pStyle w:val="ListParagraph"/>
        <w:numPr>
          <w:ilvl w:val="0"/>
          <w:numId w:val="3"/>
        </w:numPr>
        <w:spacing w:after="120" w:line="276" w:lineRule="auto"/>
        <w:rPr>
          <w:sz w:val="24"/>
          <w:szCs w:val="24"/>
          <w:lang w:val="en-US"/>
        </w:rPr>
      </w:pPr>
      <w:r>
        <w:rPr>
          <w:sz w:val="24"/>
          <w:szCs w:val="24"/>
          <w:lang w:val="en-US"/>
        </w:rPr>
        <w:t xml:space="preserve">These changes are made to support the LPC elections in 2023, such as to </w:t>
      </w:r>
      <w:r w:rsidRPr="464CE871">
        <w:rPr>
          <w:sz w:val="24"/>
          <w:szCs w:val="24"/>
          <w:lang w:val="en-US"/>
        </w:rPr>
        <w:t>recogni</w:t>
      </w:r>
      <w:r w:rsidR="5A856CDB" w:rsidRPr="464CE871">
        <w:rPr>
          <w:sz w:val="24"/>
          <w:szCs w:val="24"/>
          <w:lang w:val="en-US"/>
        </w:rPr>
        <w:t>s</w:t>
      </w:r>
      <w:r w:rsidRPr="464CE871">
        <w:rPr>
          <w:sz w:val="24"/>
          <w:szCs w:val="24"/>
          <w:lang w:val="en-US"/>
        </w:rPr>
        <w:t xml:space="preserve">e </w:t>
      </w:r>
      <w:r w:rsidR="000E5558" w:rsidRPr="464CE871">
        <w:rPr>
          <w:sz w:val="24"/>
          <w:szCs w:val="24"/>
          <w:lang w:val="en-US"/>
        </w:rPr>
        <w:t>changes</w:t>
      </w:r>
      <w:r w:rsidR="7D8E85A3" w:rsidRPr="464CE871">
        <w:rPr>
          <w:sz w:val="24"/>
          <w:szCs w:val="24"/>
          <w:lang w:val="en-US"/>
        </w:rPr>
        <w:t xml:space="preserve"> to</w:t>
      </w:r>
      <w:r>
        <w:rPr>
          <w:sz w:val="24"/>
          <w:szCs w:val="24"/>
          <w:lang w:val="en-US"/>
        </w:rPr>
        <w:t xml:space="preserve"> the NHS </w:t>
      </w:r>
      <w:r w:rsidR="008DA805" w:rsidRPr="464CE871">
        <w:rPr>
          <w:sz w:val="24"/>
          <w:szCs w:val="24"/>
          <w:lang w:val="en-US"/>
        </w:rPr>
        <w:t xml:space="preserve">structures since the last </w:t>
      </w:r>
      <w:r w:rsidR="000E5558" w:rsidRPr="464CE871">
        <w:rPr>
          <w:sz w:val="24"/>
          <w:szCs w:val="24"/>
          <w:lang w:val="en-US"/>
        </w:rPr>
        <w:t>constitution</w:t>
      </w:r>
      <w:r w:rsidR="008DA805" w:rsidRPr="464CE871">
        <w:rPr>
          <w:sz w:val="24"/>
          <w:szCs w:val="24"/>
          <w:lang w:val="en-US"/>
        </w:rPr>
        <w:t xml:space="preserve"> in 2014</w:t>
      </w:r>
      <w:r>
        <w:rPr>
          <w:sz w:val="24"/>
          <w:szCs w:val="24"/>
          <w:lang w:val="en-US"/>
        </w:rPr>
        <w:t xml:space="preserve">. </w:t>
      </w:r>
    </w:p>
    <w:p w14:paraId="595194EF" w14:textId="464085DE" w:rsidR="00CF5C91" w:rsidRDefault="7B453573" w:rsidP="464CE871">
      <w:pPr>
        <w:spacing w:line="276" w:lineRule="auto"/>
        <w:rPr>
          <w:sz w:val="24"/>
          <w:szCs w:val="24"/>
        </w:rPr>
      </w:pPr>
      <w:r w:rsidRPr="464CE871">
        <w:rPr>
          <w:sz w:val="24"/>
          <w:szCs w:val="24"/>
        </w:rPr>
        <w:t>Locally this means</w:t>
      </w:r>
      <w:r w:rsidR="00F37EA9">
        <w:rPr>
          <w:sz w:val="24"/>
          <w:szCs w:val="24"/>
        </w:rPr>
        <w:t xml:space="preserve"> the following for the constitution:</w:t>
      </w:r>
    </w:p>
    <w:p w14:paraId="7D1C1905" w14:textId="0D244030" w:rsidR="00CF5C91" w:rsidRPr="00562B69" w:rsidRDefault="00562B69" w:rsidP="00CF5C91">
      <w:pPr>
        <w:pStyle w:val="ListParagraph"/>
        <w:numPr>
          <w:ilvl w:val="0"/>
          <w:numId w:val="11"/>
        </w:numPr>
        <w:spacing w:line="276" w:lineRule="auto"/>
        <w:rPr>
          <w:sz w:val="24"/>
          <w:szCs w:val="24"/>
        </w:rPr>
      </w:pPr>
      <w:r w:rsidRPr="00562B69">
        <w:rPr>
          <w:sz w:val="24"/>
          <w:szCs w:val="24"/>
        </w:rPr>
        <w:t>Devon LPC</w:t>
      </w:r>
    </w:p>
    <w:p w14:paraId="7F65E718" w14:textId="200E544C" w:rsidR="000E1D84" w:rsidRDefault="000E1D84" w:rsidP="000E1D84">
      <w:pPr>
        <w:pStyle w:val="ListParagraph"/>
        <w:numPr>
          <w:ilvl w:val="0"/>
          <w:numId w:val="11"/>
        </w:numPr>
        <w:adjustRightInd w:val="0"/>
        <w:rPr>
          <w:rFonts w:cs="Verdana"/>
          <w:sz w:val="24"/>
          <w:szCs w:val="24"/>
        </w:rPr>
      </w:pPr>
      <w:r w:rsidRPr="003C1E7E">
        <w:rPr>
          <w:sz w:val="24"/>
          <w:szCs w:val="24"/>
        </w:rPr>
        <w:t>Our size and boundary</w:t>
      </w:r>
      <w:r w:rsidRPr="000E1D84">
        <w:rPr>
          <w:rFonts w:cs="Verdana"/>
          <w:sz w:val="24"/>
          <w:szCs w:val="24"/>
        </w:rPr>
        <w:t xml:space="preserve"> as representative of the pharmacy contractors in the area(s) of the following Integrated Care Boards and Health and Wellbeing Boards:</w:t>
      </w:r>
    </w:p>
    <w:p w14:paraId="60C4A81F" w14:textId="2A824E7B" w:rsidR="00562B69" w:rsidRDefault="00562B69" w:rsidP="00562B69">
      <w:pPr>
        <w:pStyle w:val="ListParagraph"/>
        <w:numPr>
          <w:ilvl w:val="1"/>
          <w:numId w:val="11"/>
        </w:numPr>
        <w:adjustRightInd w:val="0"/>
        <w:rPr>
          <w:rFonts w:cs="Verdana"/>
          <w:sz w:val="24"/>
          <w:szCs w:val="24"/>
        </w:rPr>
      </w:pPr>
      <w:r>
        <w:rPr>
          <w:rFonts w:cs="Verdana"/>
          <w:sz w:val="24"/>
          <w:szCs w:val="24"/>
        </w:rPr>
        <w:t>Devon Integrated Care Board (NHS Devon)</w:t>
      </w:r>
    </w:p>
    <w:p w14:paraId="64098079" w14:textId="04416A78" w:rsidR="00562B69" w:rsidRDefault="00562B69" w:rsidP="00562B69">
      <w:pPr>
        <w:pStyle w:val="ListParagraph"/>
        <w:numPr>
          <w:ilvl w:val="1"/>
          <w:numId w:val="11"/>
        </w:numPr>
        <w:adjustRightInd w:val="0"/>
        <w:rPr>
          <w:rFonts w:cs="Verdana"/>
          <w:sz w:val="24"/>
          <w:szCs w:val="24"/>
        </w:rPr>
      </w:pPr>
      <w:r>
        <w:rPr>
          <w:rFonts w:cs="Verdana"/>
          <w:sz w:val="24"/>
          <w:szCs w:val="24"/>
        </w:rPr>
        <w:t>Devon Health &amp; Wellbeing Board</w:t>
      </w:r>
    </w:p>
    <w:p w14:paraId="5C9E3AF5" w14:textId="15445859" w:rsidR="00562B69" w:rsidRDefault="00562B69" w:rsidP="00562B69">
      <w:pPr>
        <w:pStyle w:val="ListParagraph"/>
        <w:numPr>
          <w:ilvl w:val="1"/>
          <w:numId w:val="11"/>
        </w:numPr>
        <w:adjustRightInd w:val="0"/>
        <w:rPr>
          <w:rFonts w:cs="Verdana"/>
          <w:sz w:val="24"/>
          <w:szCs w:val="24"/>
        </w:rPr>
      </w:pPr>
      <w:r>
        <w:rPr>
          <w:rFonts w:cs="Verdana"/>
          <w:sz w:val="24"/>
          <w:szCs w:val="24"/>
        </w:rPr>
        <w:t>Plymouth Health &amp; Wellbeing Board</w:t>
      </w:r>
    </w:p>
    <w:p w14:paraId="2DB74B9A" w14:textId="2F07DF9B" w:rsidR="00F33152" w:rsidRPr="00562B69" w:rsidRDefault="00562B69" w:rsidP="00562B69">
      <w:pPr>
        <w:pStyle w:val="ListParagraph"/>
        <w:numPr>
          <w:ilvl w:val="1"/>
          <w:numId w:val="11"/>
        </w:numPr>
        <w:adjustRightInd w:val="0"/>
        <w:rPr>
          <w:rFonts w:cs="Verdana"/>
          <w:sz w:val="24"/>
          <w:szCs w:val="24"/>
        </w:rPr>
      </w:pPr>
      <w:r>
        <w:rPr>
          <w:rFonts w:cs="Verdana"/>
          <w:sz w:val="24"/>
          <w:szCs w:val="24"/>
        </w:rPr>
        <w:t>Torbay Health &amp; Wellbeing Board</w:t>
      </w:r>
    </w:p>
    <w:p w14:paraId="7A20F147" w14:textId="7C11528C" w:rsidR="00F33152" w:rsidRPr="00A14D55" w:rsidRDefault="00A14D55" w:rsidP="00A14D55">
      <w:pPr>
        <w:spacing w:line="276" w:lineRule="auto"/>
        <w:rPr>
          <w:sz w:val="24"/>
          <w:szCs w:val="24"/>
        </w:rPr>
      </w:pPr>
      <w:r w:rsidRPr="00A14D55">
        <w:rPr>
          <w:sz w:val="24"/>
          <w:szCs w:val="24"/>
        </w:rPr>
        <w:t xml:space="preserve">In parallel to these constitutional updates, there are other local changes that we are proposing and these are described in detail in the table on the next page.  </w:t>
      </w:r>
    </w:p>
    <w:p w14:paraId="52494859" w14:textId="77777777" w:rsidR="00F33152" w:rsidRPr="00F33152" w:rsidRDefault="00F33152" w:rsidP="00F33152">
      <w:pPr>
        <w:spacing w:line="276" w:lineRule="auto"/>
        <w:rPr>
          <w:sz w:val="24"/>
          <w:szCs w:val="24"/>
          <w:highlight w:val="yellow"/>
        </w:rPr>
      </w:pPr>
    </w:p>
    <w:p w14:paraId="31FE8BB8" w14:textId="0D42E013" w:rsidR="00AE335A" w:rsidRDefault="00AE335A" w:rsidP="464CE871">
      <w:pPr>
        <w:spacing w:line="276" w:lineRule="auto"/>
        <w:rPr>
          <w:sz w:val="24"/>
          <w:szCs w:val="24"/>
        </w:rPr>
      </w:pPr>
    </w:p>
    <w:p w14:paraId="599ADE4A" w14:textId="254EAF3A" w:rsidR="00AE335A" w:rsidRDefault="00AE335A" w:rsidP="464CE871">
      <w:pPr>
        <w:spacing w:line="276" w:lineRule="auto"/>
        <w:rPr>
          <w:sz w:val="24"/>
          <w:szCs w:val="24"/>
        </w:rPr>
      </w:pPr>
    </w:p>
    <w:p w14:paraId="56A4FE97" w14:textId="12C7BB61" w:rsidR="00AE335A" w:rsidRDefault="00AE335A" w:rsidP="464CE871">
      <w:pPr>
        <w:spacing w:line="276" w:lineRule="auto"/>
        <w:rPr>
          <w:sz w:val="24"/>
          <w:szCs w:val="24"/>
        </w:rPr>
      </w:pPr>
    </w:p>
    <w:p w14:paraId="65C59415" w14:textId="67CEE0B0" w:rsidR="00AE335A" w:rsidRDefault="00AE335A" w:rsidP="464CE871">
      <w:pPr>
        <w:spacing w:line="276" w:lineRule="auto"/>
        <w:rPr>
          <w:sz w:val="24"/>
          <w:szCs w:val="24"/>
        </w:rPr>
      </w:pPr>
    </w:p>
    <w:p w14:paraId="15657BA9" w14:textId="77777777" w:rsidR="003C1E7E" w:rsidRDefault="003C1E7E" w:rsidP="464CE871">
      <w:pPr>
        <w:spacing w:line="276" w:lineRule="auto"/>
        <w:rPr>
          <w:sz w:val="24"/>
          <w:szCs w:val="24"/>
        </w:rPr>
      </w:pPr>
    </w:p>
    <w:p w14:paraId="068EB1D5" w14:textId="2B48EF74" w:rsidR="00AE335A" w:rsidRDefault="00AE335A" w:rsidP="464CE871">
      <w:pPr>
        <w:spacing w:line="276" w:lineRule="auto"/>
        <w:rPr>
          <w:sz w:val="24"/>
          <w:szCs w:val="24"/>
        </w:rPr>
      </w:pPr>
    </w:p>
    <w:p w14:paraId="2816FC06" w14:textId="345C7B54" w:rsidR="00AE335A" w:rsidRDefault="00AE335A" w:rsidP="464CE871">
      <w:pPr>
        <w:spacing w:line="276" w:lineRule="auto"/>
        <w:rPr>
          <w:sz w:val="24"/>
          <w:szCs w:val="24"/>
        </w:rPr>
      </w:pPr>
    </w:p>
    <w:p w14:paraId="5AF40BA6" w14:textId="5F6FB9BE" w:rsidR="005F7621" w:rsidRDefault="005F7621" w:rsidP="464CE871">
      <w:pPr>
        <w:spacing w:line="276" w:lineRule="auto"/>
        <w:rPr>
          <w:sz w:val="24"/>
          <w:szCs w:val="24"/>
        </w:rPr>
      </w:pPr>
    </w:p>
    <w:p w14:paraId="5C359114" w14:textId="77777777" w:rsidR="005F7621" w:rsidRDefault="005F7621" w:rsidP="464CE871">
      <w:pPr>
        <w:spacing w:line="276" w:lineRule="auto"/>
        <w:rPr>
          <w:sz w:val="24"/>
          <w:szCs w:val="24"/>
        </w:rPr>
      </w:pPr>
    </w:p>
    <w:p w14:paraId="6BE242F1" w14:textId="77777777" w:rsidR="005F7621" w:rsidRDefault="005F7621" w:rsidP="464CE871">
      <w:pPr>
        <w:spacing w:line="276" w:lineRule="auto"/>
        <w:rPr>
          <w:b/>
          <w:bCs/>
          <w:sz w:val="24"/>
          <w:szCs w:val="24"/>
        </w:rPr>
      </w:pPr>
    </w:p>
    <w:p w14:paraId="7A19AE55" w14:textId="0E0B8B0E" w:rsidR="00AE335A" w:rsidRPr="007A54A2" w:rsidRDefault="007A54A2" w:rsidP="464CE871">
      <w:pPr>
        <w:spacing w:line="276" w:lineRule="auto"/>
        <w:rPr>
          <w:b/>
          <w:bCs/>
          <w:sz w:val="24"/>
          <w:szCs w:val="24"/>
        </w:rPr>
      </w:pPr>
      <w:r w:rsidRPr="007A54A2">
        <w:rPr>
          <w:b/>
          <w:bCs/>
          <w:sz w:val="24"/>
          <w:szCs w:val="24"/>
        </w:rPr>
        <w:t xml:space="preserve">Local changes in detail </w:t>
      </w:r>
    </w:p>
    <w:p w14:paraId="696DD184" w14:textId="350B916A" w:rsidR="00AE335A" w:rsidRDefault="00AE335A" w:rsidP="464CE871">
      <w:pPr>
        <w:spacing w:line="276" w:lineRule="auto"/>
        <w:rPr>
          <w:sz w:val="24"/>
          <w:szCs w:val="24"/>
        </w:rPr>
      </w:pPr>
    </w:p>
    <w:tbl>
      <w:tblPr>
        <w:tblW w:w="10776"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4"/>
        <w:gridCol w:w="3543"/>
        <w:gridCol w:w="3829"/>
      </w:tblGrid>
      <w:tr w:rsidR="00AE335A" w14:paraId="74E160A9" w14:textId="77777777" w:rsidTr="00BA081C">
        <w:trPr>
          <w:trHeight w:val="268"/>
        </w:trPr>
        <w:tc>
          <w:tcPr>
            <w:tcW w:w="3404" w:type="dxa"/>
          </w:tcPr>
          <w:p w14:paraId="18690370" w14:textId="505B7124" w:rsidR="00AE335A" w:rsidRPr="00F33152" w:rsidRDefault="001225AB">
            <w:pPr>
              <w:pStyle w:val="TableParagraph"/>
              <w:spacing w:line="248" w:lineRule="exact"/>
              <w:rPr>
                <w:b/>
                <w:sz w:val="24"/>
                <w:szCs w:val="24"/>
              </w:rPr>
            </w:pPr>
            <w:r w:rsidRPr="00F33152">
              <w:rPr>
                <w:b/>
                <w:spacing w:val="-2"/>
                <w:sz w:val="24"/>
                <w:szCs w:val="24"/>
              </w:rPr>
              <w:t xml:space="preserve">Local Changes </w:t>
            </w:r>
            <w:r w:rsidR="0016371C" w:rsidRPr="00F33152">
              <w:rPr>
                <w:b/>
                <w:spacing w:val="-2"/>
                <w:sz w:val="24"/>
                <w:szCs w:val="24"/>
              </w:rPr>
              <w:t>in response to the RSG recommendations for LPCs</w:t>
            </w:r>
          </w:p>
        </w:tc>
        <w:tc>
          <w:tcPr>
            <w:tcW w:w="3543" w:type="dxa"/>
          </w:tcPr>
          <w:p w14:paraId="0FB594AA" w14:textId="77777777" w:rsidR="00AE335A" w:rsidRPr="00F33152" w:rsidRDefault="00AE335A">
            <w:pPr>
              <w:pStyle w:val="TableParagraph"/>
              <w:spacing w:line="248" w:lineRule="exact"/>
              <w:ind w:left="108"/>
              <w:rPr>
                <w:b/>
                <w:sz w:val="24"/>
                <w:szCs w:val="24"/>
              </w:rPr>
            </w:pPr>
            <w:r w:rsidRPr="00F33152">
              <w:rPr>
                <w:b/>
                <w:sz w:val="24"/>
                <w:szCs w:val="24"/>
              </w:rPr>
              <w:t>Current</w:t>
            </w:r>
            <w:r w:rsidRPr="00F33152">
              <w:rPr>
                <w:b/>
                <w:spacing w:val="-7"/>
                <w:sz w:val="24"/>
                <w:szCs w:val="24"/>
              </w:rPr>
              <w:t xml:space="preserve"> </w:t>
            </w:r>
            <w:r w:rsidRPr="00F33152">
              <w:rPr>
                <w:b/>
                <w:spacing w:val="-2"/>
                <w:sz w:val="24"/>
                <w:szCs w:val="24"/>
              </w:rPr>
              <w:t>Status</w:t>
            </w:r>
          </w:p>
        </w:tc>
        <w:tc>
          <w:tcPr>
            <w:tcW w:w="3829" w:type="dxa"/>
          </w:tcPr>
          <w:p w14:paraId="44150158" w14:textId="62238286" w:rsidR="00AE335A" w:rsidRPr="00F33152" w:rsidRDefault="00AE335A">
            <w:pPr>
              <w:pStyle w:val="TableParagraph"/>
              <w:spacing w:line="248" w:lineRule="exact"/>
              <w:rPr>
                <w:b/>
                <w:sz w:val="24"/>
                <w:szCs w:val="24"/>
              </w:rPr>
            </w:pPr>
            <w:r w:rsidRPr="00F33152">
              <w:rPr>
                <w:b/>
                <w:sz w:val="24"/>
                <w:szCs w:val="24"/>
              </w:rPr>
              <w:t>LPC</w:t>
            </w:r>
            <w:r w:rsidRPr="00F33152">
              <w:rPr>
                <w:b/>
                <w:spacing w:val="-3"/>
                <w:sz w:val="24"/>
                <w:szCs w:val="24"/>
              </w:rPr>
              <w:t xml:space="preserve"> </w:t>
            </w:r>
            <w:r w:rsidR="00092EAD" w:rsidRPr="00F33152">
              <w:rPr>
                <w:b/>
                <w:sz w:val="24"/>
                <w:szCs w:val="24"/>
              </w:rPr>
              <w:t xml:space="preserve">proposal </w:t>
            </w:r>
            <w:r w:rsidR="008F7ED1" w:rsidRPr="00F33152">
              <w:rPr>
                <w:b/>
                <w:sz w:val="24"/>
                <w:szCs w:val="24"/>
              </w:rPr>
              <w:t xml:space="preserve">and </w:t>
            </w:r>
            <w:r w:rsidR="00183CD5" w:rsidRPr="00F33152">
              <w:rPr>
                <w:b/>
                <w:sz w:val="24"/>
                <w:szCs w:val="24"/>
              </w:rPr>
              <w:t>justification</w:t>
            </w:r>
          </w:p>
        </w:tc>
      </w:tr>
      <w:tr w:rsidR="00AE335A" w14:paraId="46918A96" w14:textId="77777777" w:rsidTr="00F33152">
        <w:trPr>
          <w:trHeight w:val="489"/>
        </w:trPr>
        <w:tc>
          <w:tcPr>
            <w:tcW w:w="3404" w:type="dxa"/>
          </w:tcPr>
          <w:p w14:paraId="216BF966" w14:textId="77777777" w:rsidR="00AE335A" w:rsidRPr="00F33152" w:rsidRDefault="00AE335A">
            <w:pPr>
              <w:pStyle w:val="TableParagraph"/>
              <w:spacing w:before="1"/>
              <w:rPr>
                <w:b/>
                <w:spacing w:val="-4"/>
                <w:sz w:val="24"/>
                <w:szCs w:val="24"/>
              </w:rPr>
            </w:pPr>
            <w:r w:rsidRPr="00F33152">
              <w:rPr>
                <w:b/>
                <w:sz w:val="24"/>
                <w:szCs w:val="24"/>
              </w:rPr>
              <w:t>LPC</w:t>
            </w:r>
            <w:r w:rsidRPr="00F33152">
              <w:rPr>
                <w:b/>
                <w:spacing w:val="-4"/>
                <w:sz w:val="24"/>
                <w:szCs w:val="24"/>
              </w:rPr>
              <w:t xml:space="preserve"> </w:t>
            </w:r>
            <w:r w:rsidRPr="00F33152">
              <w:rPr>
                <w:b/>
                <w:sz w:val="24"/>
                <w:szCs w:val="24"/>
              </w:rPr>
              <w:t>Name</w:t>
            </w:r>
            <w:r w:rsidRPr="00F33152">
              <w:rPr>
                <w:b/>
                <w:spacing w:val="-4"/>
                <w:sz w:val="24"/>
                <w:szCs w:val="24"/>
              </w:rPr>
              <w:t xml:space="preserve"> </w:t>
            </w:r>
          </w:p>
          <w:p w14:paraId="05462F7B" w14:textId="5DB1B18A" w:rsidR="001A6C57" w:rsidRPr="00F33152" w:rsidRDefault="001A6C57">
            <w:pPr>
              <w:pStyle w:val="TableParagraph"/>
              <w:spacing w:before="1"/>
              <w:rPr>
                <w:b/>
              </w:rPr>
            </w:pPr>
            <w:r w:rsidRPr="00F33152">
              <w:t>Rebrand all LPCs to be known as Community Pharmacy (CPL).</w:t>
            </w:r>
          </w:p>
        </w:tc>
        <w:tc>
          <w:tcPr>
            <w:tcW w:w="3543" w:type="dxa"/>
            <w:shd w:val="clear" w:color="auto" w:fill="FFFF00"/>
          </w:tcPr>
          <w:p w14:paraId="70982D5D" w14:textId="0E8028FD" w:rsidR="00AE335A" w:rsidRPr="00562B69" w:rsidRDefault="00562B69">
            <w:pPr>
              <w:pStyle w:val="TableParagraph"/>
              <w:spacing w:before="1"/>
              <w:ind w:left="108"/>
            </w:pPr>
            <w:r w:rsidRPr="00562B69">
              <w:t>Devon LPC</w:t>
            </w:r>
          </w:p>
        </w:tc>
        <w:tc>
          <w:tcPr>
            <w:tcW w:w="3829" w:type="dxa"/>
            <w:shd w:val="clear" w:color="auto" w:fill="FFFF00"/>
          </w:tcPr>
          <w:p w14:paraId="19114505" w14:textId="1C6245F6" w:rsidR="00AE335A" w:rsidRPr="00562B69" w:rsidRDefault="00562B69">
            <w:pPr>
              <w:pStyle w:val="TableParagraph"/>
              <w:spacing w:line="240" w:lineRule="atLeast"/>
              <w:rPr>
                <w:b/>
              </w:rPr>
            </w:pPr>
            <w:r w:rsidRPr="00562B69">
              <w:rPr>
                <w:b/>
              </w:rPr>
              <w:t>Rebrand to “Community Pharmacy Devon”</w:t>
            </w:r>
          </w:p>
        </w:tc>
      </w:tr>
      <w:tr w:rsidR="00AE335A" w14:paraId="7546F31C" w14:textId="77777777" w:rsidTr="00F33152">
        <w:trPr>
          <w:trHeight w:val="976"/>
        </w:trPr>
        <w:tc>
          <w:tcPr>
            <w:tcW w:w="3404" w:type="dxa"/>
          </w:tcPr>
          <w:p w14:paraId="32F42D4A" w14:textId="77777777" w:rsidR="00A54647" w:rsidRPr="00F33152" w:rsidRDefault="00AE335A" w:rsidP="00A54647">
            <w:pPr>
              <w:pStyle w:val="TableParagraph"/>
              <w:spacing w:before="1"/>
              <w:rPr>
                <w:b/>
                <w:sz w:val="24"/>
                <w:szCs w:val="24"/>
              </w:rPr>
            </w:pPr>
            <w:r w:rsidRPr="00F33152">
              <w:rPr>
                <w:b/>
                <w:sz w:val="24"/>
                <w:szCs w:val="24"/>
              </w:rPr>
              <w:t>LPC</w:t>
            </w:r>
            <w:r w:rsidRPr="00F33152">
              <w:rPr>
                <w:b/>
                <w:spacing w:val="-7"/>
                <w:sz w:val="24"/>
                <w:szCs w:val="24"/>
              </w:rPr>
              <w:t xml:space="preserve"> </w:t>
            </w:r>
            <w:r w:rsidR="00BA081C" w:rsidRPr="00F33152">
              <w:rPr>
                <w:b/>
                <w:sz w:val="24"/>
                <w:szCs w:val="24"/>
              </w:rPr>
              <w:t>boundar</w:t>
            </w:r>
            <w:r w:rsidR="001225AB" w:rsidRPr="00F33152">
              <w:rPr>
                <w:b/>
                <w:sz w:val="24"/>
                <w:szCs w:val="24"/>
              </w:rPr>
              <w:t xml:space="preserve">y </w:t>
            </w:r>
            <w:r w:rsidR="00A54647" w:rsidRPr="00F33152">
              <w:rPr>
                <w:b/>
                <w:sz w:val="24"/>
                <w:szCs w:val="24"/>
              </w:rPr>
              <w:t>and size (number of contractors represented)</w:t>
            </w:r>
          </w:p>
          <w:p w14:paraId="2D4BF08C" w14:textId="5C7A3A5C" w:rsidR="00A54647" w:rsidRPr="00F33152" w:rsidRDefault="00A54647" w:rsidP="00A54647">
            <w:pPr>
              <w:pStyle w:val="TableParagraph"/>
              <w:spacing w:before="1"/>
              <w:rPr>
                <w:b/>
              </w:rPr>
            </w:pPr>
            <w:r w:rsidRPr="00F33152">
              <w:t>LPCs to more closely align with NHS Integrated Care Systems (ICS) and to reconsider their size (in terms of numbers of contractors represented) in line with the Wright Review recommendation that LPCs with a minimum of 200 contractors provide better value</w:t>
            </w:r>
          </w:p>
        </w:tc>
        <w:tc>
          <w:tcPr>
            <w:tcW w:w="3543" w:type="dxa"/>
            <w:shd w:val="clear" w:color="auto" w:fill="FFFF00"/>
          </w:tcPr>
          <w:p w14:paraId="5557EA19" w14:textId="74947A21" w:rsidR="00AE335A" w:rsidRPr="00562B69" w:rsidRDefault="00562B69">
            <w:pPr>
              <w:pStyle w:val="TableParagraph"/>
              <w:spacing w:before="1"/>
              <w:ind w:left="108"/>
            </w:pPr>
            <w:r w:rsidRPr="00562B69">
              <w:t>Aligned to Devon ICB</w:t>
            </w:r>
          </w:p>
        </w:tc>
        <w:tc>
          <w:tcPr>
            <w:tcW w:w="3829" w:type="dxa"/>
            <w:shd w:val="clear" w:color="auto" w:fill="FFFF00"/>
          </w:tcPr>
          <w:p w14:paraId="68508D3B" w14:textId="1808A5F8" w:rsidR="00AE335A" w:rsidRPr="00562B69" w:rsidRDefault="00562B69">
            <w:pPr>
              <w:pStyle w:val="TableParagraph"/>
              <w:spacing w:line="223" w:lineRule="exact"/>
              <w:rPr>
                <w:b/>
              </w:rPr>
            </w:pPr>
            <w:r w:rsidRPr="00562B69">
              <w:rPr>
                <w:b/>
              </w:rPr>
              <w:t>No change</w:t>
            </w:r>
          </w:p>
        </w:tc>
      </w:tr>
      <w:tr w:rsidR="00AE335A" w14:paraId="4B5BF48C" w14:textId="77777777" w:rsidTr="00F33152">
        <w:trPr>
          <w:trHeight w:val="486"/>
        </w:trPr>
        <w:tc>
          <w:tcPr>
            <w:tcW w:w="3404" w:type="dxa"/>
          </w:tcPr>
          <w:p w14:paraId="5BC97AEB" w14:textId="77777777" w:rsidR="00AE335A" w:rsidRPr="00F33152" w:rsidRDefault="00AE335A" w:rsidP="00092EAD">
            <w:pPr>
              <w:pStyle w:val="TableParagraph"/>
              <w:spacing w:before="1"/>
              <w:ind w:left="0"/>
              <w:rPr>
                <w:b/>
                <w:spacing w:val="-2"/>
                <w:sz w:val="24"/>
                <w:szCs w:val="24"/>
              </w:rPr>
            </w:pPr>
            <w:r w:rsidRPr="00F33152">
              <w:rPr>
                <w:b/>
                <w:sz w:val="24"/>
                <w:szCs w:val="24"/>
              </w:rPr>
              <w:t>LPC</w:t>
            </w:r>
            <w:r w:rsidRPr="00F33152">
              <w:rPr>
                <w:b/>
                <w:spacing w:val="-4"/>
                <w:sz w:val="24"/>
                <w:szCs w:val="24"/>
              </w:rPr>
              <w:t xml:space="preserve"> </w:t>
            </w:r>
            <w:r w:rsidR="00092EAD" w:rsidRPr="00F33152">
              <w:rPr>
                <w:b/>
                <w:spacing w:val="-4"/>
                <w:sz w:val="24"/>
                <w:szCs w:val="24"/>
              </w:rPr>
              <w:t xml:space="preserve">committee </w:t>
            </w:r>
            <w:r w:rsidR="00092EAD" w:rsidRPr="00F33152">
              <w:rPr>
                <w:b/>
                <w:spacing w:val="-2"/>
                <w:sz w:val="24"/>
                <w:szCs w:val="24"/>
              </w:rPr>
              <w:t>m</w:t>
            </w:r>
            <w:r w:rsidRPr="00F33152">
              <w:rPr>
                <w:b/>
                <w:spacing w:val="-2"/>
                <w:sz w:val="24"/>
                <w:szCs w:val="24"/>
              </w:rPr>
              <w:t>embers</w:t>
            </w:r>
          </w:p>
          <w:p w14:paraId="64C516D8" w14:textId="5B7D6D06" w:rsidR="00A21FB2" w:rsidRPr="00F33152" w:rsidRDefault="00A21FB2" w:rsidP="00092EAD">
            <w:pPr>
              <w:pStyle w:val="TableParagraph"/>
              <w:spacing w:before="1"/>
              <w:ind w:left="0"/>
              <w:rPr>
                <w:b/>
              </w:rPr>
            </w:pPr>
            <w:r w:rsidRPr="00F33152">
              <w:t>Reduce LPC committee sizes to a range of 10-12 members whilst maintaining local proportional representation</w:t>
            </w:r>
          </w:p>
        </w:tc>
        <w:tc>
          <w:tcPr>
            <w:tcW w:w="3543" w:type="dxa"/>
            <w:shd w:val="clear" w:color="auto" w:fill="FFFF00"/>
          </w:tcPr>
          <w:p w14:paraId="3B8FFDD6" w14:textId="65331768" w:rsidR="00AE335A" w:rsidRPr="00562B69" w:rsidRDefault="00562B69">
            <w:pPr>
              <w:pStyle w:val="TableParagraph"/>
              <w:spacing w:line="222" w:lineRule="exact"/>
              <w:ind w:left="108"/>
            </w:pPr>
            <w:r w:rsidRPr="00562B69">
              <w:t>11 Committee members</w:t>
            </w:r>
          </w:p>
        </w:tc>
        <w:tc>
          <w:tcPr>
            <w:tcW w:w="3829" w:type="dxa"/>
            <w:shd w:val="clear" w:color="auto" w:fill="FFFF00"/>
          </w:tcPr>
          <w:p w14:paraId="7997B086" w14:textId="0C4CE9DD" w:rsidR="00AE335A" w:rsidRPr="00562B69" w:rsidRDefault="00562B69">
            <w:pPr>
              <w:pStyle w:val="TableParagraph"/>
              <w:spacing w:line="222" w:lineRule="exact"/>
              <w:rPr>
                <w:b/>
              </w:rPr>
            </w:pPr>
            <w:r w:rsidRPr="00562B69">
              <w:rPr>
                <w:b/>
              </w:rPr>
              <w:t>No change</w:t>
            </w:r>
          </w:p>
        </w:tc>
      </w:tr>
      <w:tr w:rsidR="00AE335A" w14:paraId="71A9482A" w14:textId="77777777" w:rsidTr="00F33152">
        <w:trPr>
          <w:trHeight w:val="2930"/>
        </w:trPr>
        <w:tc>
          <w:tcPr>
            <w:tcW w:w="3404" w:type="dxa"/>
          </w:tcPr>
          <w:p w14:paraId="21C1800B" w14:textId="00679AC1" w:rsidR="00AE335A" w:rsidRPr="00F33152" w:rsidRDefault="00CF556B" w:rsidP="00CF556B">
            <w:pPr>
              <w:pStyle w:val="TableParagraph"/>
              <w:spacing w:before="1"/>
              <w:ind w:left="0"/>
              <w:rPr>
                <w:b/>
                <w:sz w:val="24"/>
                <w:szCs w:val="24"/>
              </w:rPr>
            </w:pPr>
            <w:r w:rsidRPr="00F33152">
              <w:rPr>
                <w:b/>
                <w:sz w:val="24"/>
                <w:szCs w:val="24"/>
              </w:rPr>
              <w:t xml:space="preserve">Meeting the future </w:t>
            </w:r>
            <w:r w:rsidR="00AE335A" w:rsidRPr="00F33152">
              <w:rPr>
                <w:b/>
                <w:sz w:val="24"/>
                <w:szCs w:val="24"/>
              </w:rPr>
              <w:t>PSNC</w:t>
            </w:r>
            <w:r w:rsidR="00AE335A" w:rsidRPr="00F33152">
              <w:rPr>
                <w:b/>
                <w:spacing w:val="-8"/>
                <w:sz w:val="24"/>
                <w:szCs w:val="24"/>
              </w:rPr>
              <w:t xml:space="preserve"> </w:t>
            </w:r>
            <w:r w:rsidRPr="00F33152">
              <w:rPr>
                <w:b/>
                <w:sz w:val="24"/>
                <w:szCs w:val="24"/>
              </w:rPr>
              <w:t>l</w:t>
            </w:r>
            <w:r w:rsidR="00AE335A" w:rsidRPr="00F33152">
              <w:rPr>
                <w:b/>
                <w:sz w:val="24"/>
                <w:szCs w:val="24"/>
              </w:rPr>
              <w:t>evy</w:t>
            </w:r>
            <w:r w:rsidR="00AE335A" w:rsidRPr="00F33152">
              <w:rPr>
                <w:b/>
                <w:spacing w:val="-8"/>
                <w:sz w:val="24"/>
                <w:szCs w:val="24"/>
              </w:rPr>
              <w:t xml:space="preserve"> </w:t>
            </w:r>
            <w:r w:rsidR="00AE335A" w:rsidRPr="00F33152">
              <w:rPr>
                <w:b/>
                <w:sz w:val="24"/>
                <w:szCs w:val="24"/>
              </w:rPr>
              <w:t>demand</w:t>
            </w:r>
            <w:r w:rsidR="00AE335A" w:rsidRPr="00F33152">
              <w:rPr>
                <w:b/>
                <w:spacing w:val="-6"/>
                <w:sz w:val="24"/>
                <w:szCs w:val="24"/>
              </w:rPr>
              <w:t xml:space="preserve"> </w:t>
            </w:r>
            <w:r w:rsidR="00AE335A" w:rsidRPr="00F33152">
              <w:rPr>
                <w:b/>
                <w:sz w:val="24"/>
                <w:szCs w:val="24"/>
              </w:rPr>
              <w:t xml:space="preserve">to </w:t>
            </w:r>
            <w:r w:rsidR="00AE335A" w:rsidRPr="00F33152">
              <w:rPr>
                <w:b/>
                <w:spacing w:val="-2"/>
                <w:sz w:val="24"/>
                <w:szCs w:val="24"/>
              </w:rPr>
              <w:t>LPCs:</w:t>
            </w:r>
          </w:p>
          <w:p w14:paraId="1759F007" w14:textId="45AE7DF9" w:rsidR="00AE335A" w:rsidRPr="00F33152" w:rsidRDefault="00043677">
            <w:pPr>
              <w:pStyle w:val="TableParagraph"/>
              <w:spacing w:before="1"/>
              <w:ind w:right="140"/>
            </w:pPr>
            <w:r>
              <w:t>Increase the contributions that LPCs make to PSNC, on a trajectory of an additional £1.5m pa by the levy year beginning April 2024</w:t>
            </w:r>
            <w:r w:rsidR="00AE335A" w:rsidRPr="00F33152">
              <w:t>.</w:t>
            </w:r>
          </w:p>
          <w:p w14:paraId="4471C992" w14:textId="77777777" w:rsidR="00AE335A" w:rsidRDefault="00AE335A">
            <w:pPr>
              <w:pStyle w:val="TableParagraph"/>
              <w:spacing w:line="222" w:lineRule="exact"/>
              <w:rPr>
                <w:spacing w:val="-2"/>
              </w:rPr>
            </w:pPr>
            <w:r w:rsidRPr="00F33152">
              <w:t>which</w:t>
            </w:r>
            <w:r w:rsidRPr="00F33152">
              <w:rPr>
                <w:spacing w:val="-5"/>
              </w:rPr>
              <w:t xml:space="preserve"> </w:t>
            </w:r>
            <w:r w:rsidRPr="00F33152">
              <w:t>incorporates</w:t>
            </w:r>
            <w:r w:rsidRPr="00F33152">
              <w:rPr>
                <w:spacing w:val="-6"/>
              </w:rPr>
              <w:t xml:space="preserve"> </w:t>
            </w:r>
            <w:r w:rsidRPr="00F33152">
              <w:t>the</w:t>
            </w:r>
            <w:r w:rsidRPr="00F33152">
              <w:rPr>
                <w:spacing w:val="-7"/>
              </w:rPr>
              <w:t xml:space="preserve"> </w:t>
            </w:r>
            <w:r w:rsidRPr="00F33152">
              <w:t>PSNC</w:t>
            </w:r>
            <w:r w:rsidRPr="00F33152">
              <w:rPr>
                <w:spacing w:val="-7"/>
              </w:rPr>
              <w:t xml:space="preserve"> </w:t>
            </w:r>
            <w:r w:rsidRPr="00F33152">
              <w:rPr>
                <w:spacing w:val="-2"/>
              </w:rPr>
              <w:t>Levy.</w:t>
            </w:r>
          </w:p>
          <w:p w14:paraId="53A2923B" w14:textId="7816FD58" w:rsidR="00E94BA6" w:rsidRDefault="00E94BA6" w:rsidP="00E94BA6">
            <w:r>
              <w:t xml:space="preserve">LPCs to drive efficiencies with the aim of being able to meet increased contributions to PSNC, without having to increase contractor levies </w:t>
            </w:r>
          </w:p>
          <w:p w14:paraId="705A01B3" w14:textId="5F6518B5" w:rsidR="00E94BA6" w:rsidRPr="00F33152" w:rsidRDefault="00E94BA6">
            <w:pPr>
              <w:pStyle w:val="TableParagraph"/>
              <w:spacing w:line="222" w:lineRule="exact"/>
            </w:pPr>
          </w:p>
        </w:tc>
        <w:tc>
          <w:tcPr>
            <w:tcW w:w="3543" w:type="dxa"/>
            <w:shd w:val="clear" w:color="auto" w:fill="FFFF00"/>
          </w:tcPr>
          <w:p w14:paraId="480022F8" w14:textId="33C84DBA" w:rsidR="00AE335A" w:rsidRPr="00562B69" w:rsidRDefault="00562B69">
            <w:pPr>
              <w:pStyle w:val="TableParagraph"/>
              <w:spacing w:before="1"/>
              <w:ind w:left="108" w:right="109"/>
            </w:pPr>
            <w:r w:rsidRPr="00562B69">
              <w:t>Our current average levy per contractor is £1269.00</w:t>
            </w:r>
          </w:p>
        </w:tc>
        <w:tc>
          <w:tcPr>
            <w:tcW w:w="3829" w:type="dxa"/>
            <w:shd w:val="clear" w:color="auto" w:fill="FFFF00"/>
          </w:tcPr>
          <w:p w14:paraId="6522587B" w14:textId="47679628" w:rsidR="00AE335A" w:rsidRPr="00562B69" w:rsidRDefault="00562B69">
            <w:pPr>
              <w:pStyle w:val="TableParagraph"/>
              <w:ind w:right="161"/>
            </w:pPr>
            <w:r w:rsidRPr="00562B69">
              <w:t>No change</w:t>
            </w:r>
          </w:p>
        </w:tc>
      </w:tr>
      <w:tr w:rsidR="00AE335A" w14:paraId="1C41C185" w14:textId="77777777" w:rsidTr="00F33152">
        <w:trPr>
          <w:trHeight w:val="976"/>
        </w:trPr>
        <w:tc>
          <w:tcPr>
            <w:tcW w:w="3404" w:type="dxa"/>
          </w:tcPr>
          <w:p w14:paraId="72FFDB2F" w14:textId="77777777" w:rsidR="00AE335A" w:rsidRPr="00F33152" w:rsidRDefault="00AE335A">
            <w:pPr>
              <w:pStyle w:val="TableParagraph"/>
              <w:spacing w:before="1"/>
              <w:ind w:right="160"/>
              <w:rPr>
                <w:b/>
                <w:sz w:val="24"/>
                <w:szCs w:val="24"/>
              </w:rPr>
            </w:pPr>
            <w:r w:rsidRPr="00F33152">
              <w:rPr>
                <w:b/>
                <w:sz w:val="24"/>
                <w:szCs w:val="24"/>
              </w:rPr>
              <w:t>Adopting</w:t>
            </w:r>
            <w:r w:rsidRPr="00F33152">
              <w:rPr>
                <w:b/>
                <w:spacing w:val="-9"/>
                <w:sz w:val="24"/>
                <w:szCs w:val="24"/>
              </w:rPr>
              <w:t xml:space="preserve"> </w:t>
            </w:r>
            <w:r w:rsidRPr="00F33152">
              <w:rPr>
                <w:b/>
                <w:sz w:val="24"/>
                <w:szCs w:val="24"/>
              </w:rPr>
              <w:t>the</w:t>
            </w:r>
            <w:r w:rsidRPr="00F33152">
              <w:rPr>
                <w:b/>
                <w:spacing w:val="-8"/>
                <w:sz w:val="24"/>
                <w:szCs w:val="24"/>
              </w:rPr>
              <w:t xml:space="preserve"> </w:t>
            </w:r>
            <w:r w:rsidR="001225AB" w:rsidRPr="00F33152">
              <w:rPr>
                <w:b/>
                <w:sz w:val="24"/>
                <w:szCs w:val="24"/>
              </w:rPr>
              <w:t>model constitution</w:t>
            </w:r>
          </w:p>
          <w:p w14:paraId="0642592A" w14:textId="250220D1" w:rsidR="00427937" w:rsidRPr="00F33152" w:rsidRDefault="00427937">
            <w:pPr>
              <w:pStyle w:val="TableParagraph"/>
              <w:spacing w:before="1"/>
              <w:ind w:right="160"/>
              <w:rPr>
                <w:b/>
              </w:rPr>
            </w:pPr>
            <w:r w:rsidRPr="00F33152">
              <w:t>LPCs to adopt a new model constitution that focuses levy-funded activities on a core scope of activities and is in line with the new cross-sector governance framework</w:t>
            </w:r>
          </w:p>
        </w:tc>
        <w:tc>
          <w:tcPr>
            <w:tcW w:w="3543" w:type="dxa"/>
            <w:shd w:val="clear" w:color="auto" w:fill="FFFF00"/>
          </w:tcPr>
          <w:p w14:paraId="3A6354EF" w14:textId="748C9463" w:rsidR="00AE335A" w:rsidRPr="00562B69" w:rsidRDefault="00562B69">
            <w:pPr>
              <w:pStyle w:val="TableParagraph"/>
              <w:spacing w:before="1"/>
              <w:ind w:left="108"/>
            </w:pPr>
            <w:r w:rsidRPr="00562B69">
              <w:t>Existing constitution is the model constit</w:t>
            </w:r>
            <w:r w:rsidR="008E3396">
              <w:t>ution</w:t>
            </w:r>
            <w:r w:rsidRPr="00562B69">
              <w:t xml:space="preserve"> adopted in 2022 to allow for a 5 year committee term.  This is the constitu</w:t>
            </w:r>
            <w:r w:rsidR="008E3396">
              <w:t>t</w:t>
            </w:r>
            <w:r w:rsidRPr="00562B69">
              <w:t>on written by PSNC</w:t>
            </w:r>
          </w:p>
        </w:tc>
        <w:tc>
          <w:tcPr>
            <w:tcW w:w="3829" w:type="dxa"/>
            <w:shd w:val="clear" w:color="auto" w:fill="FFFF00"/>
          </w:tcPr>
          <w:p w14:paraId="0C4DB5BD" w14:textId="6EF43B4E" w:rsidR="00AE335A" w:rsidRPr="00562B69" w:rsidRDefault="00562B69">
            <w:pPr>
              <w:pStyle w:val="TableParagraph"/>
              <w:spacing w:line="223" w:lineRule="exact"/>
              <w:rPr>
                <w:b/>
              </w:rPr>
            </w:pPr>
            <w:r w:rsidRPr="00562B69">
              <w:rPr>
                <w:b/>
              </w:rPr>
              <w:t>Adopting the new 2023 PSNC model constitution</w:t>
            </w:r>
          </w:p>
        </w:tc>
      </w:tr>
    </w:tbl>
    <w:p w14:paraId="17D66EE5" w14:textId="77777777" w:rsidR="00AE335A" w:rsidRDefault="00AE335A" w:rsidP="464CE871">
      <w:pPr>
        <w:spacing w:line="276" w:lineRule="auto"/>
        <w:rPr>
          <w:sz w:val="24"/>
          <w:szCs w:val="24"/>
        </w:rPr>
      </w:pPr>
    </w:p>
    <w:p w14:paraId="55BDAB38" w14:textId="54915103" w:rsidR="464CE871" w:rsidRDefault="464CE871" w:rsidP="464CE871">
      <w:pPr>
        <w:spacing w:line="276" w:lineRule="auto"/>
        <w:rPr>
          <w:sz w:val="24"/>
          <w:szCs w:val="24"/>
        </w:rPr>
      </w:pPr>
    </w:p>
    <w:p w14:paraId="4A6D04C0" w14:textId="77777777" w:rsidR="00F33152" w:rsidRDefault="00F33152" w:rsidP="00790CB6">
      <w:pPr>
        <w:spacing w:line="276" w:lineRule="auto"/>
        <w:rPr>
          <w:sz w:val="24"/>
          <w:szCs w:val="24"/>
        </w:rPr>
      </w:pPr>
    </w:p>
    <w:p w14:paraId="11AFB3C4" w14:textId="77777777" w:rsidR="00F33152" w:rsidRDefault="00F33152" w:rsidP="00790CB6">
      <w:pPr>
        <w:spacing w:line="276" w:lineRule="auto"/>
        <w:rPr>
          <w:sz w:val="24"/>
          <w:szCs w:val="24"/>
        </w:rPr>
      </w:pPr>
    </w:p>
    <w:p w14:paraId="62C810C1" w14:textId="77777777" w:rsidR="00F33152" w:rsidRDefault="00F33152" w:rsidP="00790CB6">
      <w:pPr>
        <w:spacing w:line="276" w:lineRule="auto"/>
        <w:rPr>
          <w:sz w:val="24"/>
          <w:szCs w:val="24"/>
        </w:rPr>
      </w:pPr>
    </w:p>
    <w:p w14:paraId="64434C7A" w14:textId="77777777" w:rsidR="00F33152" w:rsidRDefault="00F33152" w:rsidP="00790CB6">
      <w:pPr>
        <w:spacing w:line="276" w:lineRule="auto"/>
        <w:rPr>
          <w:sz w:val="24"/>
          <w:szCs w:val="24"/>
        </w:rPr>
      </w:pPr>
    </w:p>
    <w:p w14:paraId="32EA9F57" w14:textId="77777777" w:rsidR="00F33152" w:rsidRPr="00562B69" w:rsidRDefault="00F33152" w:rsidP="00790CB6">
      <w:pPr>
        <w:spacing w:line="276" w:lineRule="auto"/>
        <w:rPr>
          <w:sz w:val="24"/>
          <w:szCs w:val="24"/>
        </w:rPr>
      </w:pPr>
    </w:p>
    <w:p w14:paraId="1C27C83B" w14:textId="77777777" w:rsidR="00F33152" w:rsidRDefault="00F33152" w:rsidP="00790CB6">
      <w:pPr>
        <w:spacing w:line="276" w:lineRule="auto"/>
        <w:rPr>
          <w:sz w:val="24"/>
          <w:szCs w:val="24"/>
        </w:rPr>
      </w:pPr>
    </w:p>
    <w:p w14:paraId="1AE6179C" w14:textId="77777777" w:rsidR="003C1E7E" w:rsidRDefault="003C1E7E" w:rsidP="00790CB6">
      <w:pPr>
        <w:spacing w:line="276" w:lineRule="auto"/>
        <w:rPr>
          <w:sz w:val="24"/>
          <w:szCs w:val="24"/>
        </w:rPr>
      </w:pPr>
    </w:p>
    <w:p w14:paraId="55C1ED8F" w14:textId="77777777" w:rsidR="00F33152" w:rsidRDefault="00F33152" w:rsidP="00790CB6">
      <w:pPr>
        <w:spacing w:line="276" w:lineRule="auto"/>
        <w:rPr>
          <w:sz w:val="24"/>
          <w:szCs w:val="24"/>
        </w:rPr>
      </w:pPr>
    </w:p>
    <w:p w14:paraId="5695EB47" w14:textId="77777777" w:rsidR="005F7621" w:rsidRDefault="007812EA" w:rsidP="00790CB6">
      <w:pPr>
        <w:spacing w:line="276" w:lineRule="auto"/>
        <w:rPr>
          <w:b/>
          <w:bCs/>
          <w:sz w:val="24"/>
          <w:szCs w:val="24"/>
        </w:rPr>
      </w:pPr>
      <w:r w:rsidRPr="007812EA">
        <w:rPr>
          <w:b/>
          <w:bCs/>
          <w:sz w:val="24"/>
          <w:szCs w:val="24"/>
        </w:rPr>
        <w:t xml:space="preserve">Other changes to the LPC Model Constitution </w:t>
      </w:r>
    </w:p>
    <w:p w14:paraId="3BB03441" w14:textId="7232022C" w:rsidR="00790CB6" w:rsidRPr="005F7621" w:rsidRDefault="490CA748" w:rsidP="00790CB6">
      <w:pPr>
        <w:spacing w:line="276" w:lineRule="auto"/>
        <w:rPr>
          <w:b/>
          <w:bCs/>
          <w:sz w:val="24"/>
          <w:szCs w:val="24"/>
        </w:rPr>
      </w:pPr>
      <w:r w:rsidRPr="5B6E790D">
        <w:rPr>
          <w:sz w:val="24"/>
          <w:szCs w:val="24"/>
        </w:rPr>
        <w:t>Detail</w:t>
      </w:r>
      <w:r w:rsidR="1E648EB9" w:rsidRPr="5B6E790D">
        <w:rPr>
          <w:sz w:val="24"/>
          <w:szCs w:val="24"/>
        </w:rPr>
        <w:t>ed</w:t>
      </w:r>
      <w:r w:rsidR="00790CB6">
        <w:rPr>
          <w:sz w:val="24"/>
          <w:szCs w:val="24"/>
        </w:rPr>
        <w:t xml:space="preserve"> changes </w:t>
      </w:r>
      <w:r w:rsidR="000E1D9B">
        <w:rPr>
          <w:sz w:val="24"/>
          <w:szCs w:val="24"/>
        </w:rPr>
        <w:t xml:space="preserve">to the model constitution, applying to all LPCs in England </w:t>
      </w:r>
      <w:r w:rsidR="00790CB6">
        <w:rPr>
          <w:sz w:val="24"/>
          <w:szCs w:val="24"/>
        </w:rPr>
        <w:t>are listed here</w:t>
      </w:r>
      <w:r w:rsidR="72E36878" w:rsidRPr="65A4936F">
        <w:rPr>
          <w:sz w:val="24"/>
          <w:szCs w:val="24"/>
        </w:rPr>
        <w:t>,</w:t>
      </w:r>
      <w:r w:rsidR="00790CB6">
        <w:rPr>
          <w:sz w:val="24"/>
          <w:szCs w:val="24"/>
        </w:rPr>
        <w:t xml:space="preserve"> and copies of the proposed and existing constitutions </w:t>
      </w:r>
      <w:hyperlink r:id="rId9" w:history="1">
        <w:r w:rsidR="00562B69" w:rsidRPr="00D3445A">
          <w:rPr>
            <w:rStyle w:val="Hyperlink"/>
            <w:sz w:val="24"/>
            <w:szCs w:val="24"/>
          </w:rPr>
          <w:t>are available online click here</w:t>
        </w:r>
      </w:hyperlink>
      <w:r w:rsidR="00790CB6" w:rsidRPr="00562B69">
        <w:rPr>
          <w:color w:val="FF0000"/>
          <w:sz w:val="24"/>
          <w:szCs w:val="24"/>
        </w:rPr>
        <w:t xml:space="preserve"> </w:t>
      </w:r>
      <w:r w:rsidR="00D3445A">
        <w:rPr>
          <w:color w:val="FF0000"/>
          <w:sz w:val="24"/>
          <w:szCs w:val="24"/>
        </w:rPr>
        <w:t xml:space="preserve"> (</w:t>
      </w:r>
      <w:hyperlink r:id="rId10" w:history="1">
        <w:r w:rsidR="00D3445A" w:rsidRPr="00D3445A">
          <w:rPr>
            <w:rStyle w:val="Hyperlink"/>
            <w:sz w:val="24"/>
            <w:szCs w:val="24"/>
          </w:rPr>
          <w:t>https://devonlpc.org/about-us/your-lpc/transforming-pharmacy-representation-tapr-programme/)</w:t>
        </w:r>
      </w:hyperlink>
    </w:p>
    <w:p w14:paraId="623973F6" w14:textId="77777777" w:rsidR="00A72A35" w:rsidRDefault="00A72A35" w:rsidP="00A72A35">
      <w:pPr>
        <w:pStyle w:val="ListParagraph"/>
        <w:numPr>
          <w:ilvl w:val="0"/>
          <w:numId w:val="4"/>
        </w:numPr>
        <w:spacing w:line="276" w:lineRule="auto"/>
        <w:ind w:left="1418" w:hanging="284"/>
        <w:rPr>
          <w:sz w:val="24"/>
          <w:szCs w:val="24"/>
          <w:lang w:val="en-US"/>
        </w:rPr>
      </w:pPr>
      <w:r>
        <w:rPr>
          <w:sz w:val="24"/>
          <w:szCs w:val="24"/>
          <w:lang w:val="en-US"/>
        </w:rPr>
        <w:t>Approved Governance – see below on later wider changes to LPC/PSNC governance changes (preparing for RSG recommendation 3, which applies to LPCs and PSNC)</w:t>
      </w:r>
    </w:p>
    <w:p w14:paraId="384FAF60" w14:textId="77777777" w:rsidR="00A72A35" w:rsidRDefault="00A72A35" w:rsidP="00A72A35">
      <w:pPr>
        <w:pStyle w:val="ListParagraph"/>
        <w:numPr>
          <w:ilvl w:val="0"/>
          <w:numId w:val="4"/>
        </w:numPr>
        <w:spacing w:line="276" w:lineRule="auto"/>
        <w:ind w:left="1418" w:hanging="284"/>
        <w:rPr>
          <w:sz w:val="24"/>
          <w:szCs w:val="24"/>
          <w:lang w:val="en-US"/>
        </w:rPr>
      </w:pPr>
      <w:r>
        <w:rPr>
          <w:sz w:val="24"/>
          <w:szCs w:val="24"/>
          <w:lang w:val="en-US"/>
        </w:rPr>
        <w:t>Meanings added for Community Pharmacy England and Integrated Care Boards to update</w:t>
      </w:r>
    </w:p>
    <w:p w14:paraId="6407D6D5" w14:textId="77777777" w:rsidR="00A72A35" w:rsidRDefault="00A72A35" w:rsidP="00A72A35">
      <w:pPr>
        <w:pStyle w:val="ListParagraph"/>
        <w:numPr>
          <w:ilvl w:val="0"/>
          <w:numId w:val="4"/>
        </w:numPr>
        <w:spacing w:line="276" w:lineRule="auto"/>
        <w:ind w:left="1418" w:hanging="284"/>
        <w:rPr>
          <w:sz w:val="24"/>
          <w:szCs w:val="24"/>
          <w:lang w:val="en-US"/>
        </w:rPr>
      </w:pPr>
      <w:r>
        <w:rPr>
          <w:sz w:val="24"/>
          <w:szCs w:val="24"/>
          <w:lang w:val="en-US"/>
        </w:rPr>
        <w:t>References to NHS England to include Integrated Care Boards, to include the duties NHS England has delegated to Integrated Care Boards</w:t>
      </w:r>
    </w:p>
    <w:p w14:paraId="1BC984DE" w14:textId="77777777" w:rsidR="00A72A35" w:rsidRDefault="00A72A35" w:rsidP="00A72A35">
      <w:pPr>
        <w:pStyle w:val="ListParagraph"/>
        <w:numPr>
          <w:ilvl w:val="0"/>
          <w:numId w:val="4"/>
        </w:numPr>
        <w:spacing w:line="276" w:lineRule="auto"/>
        <w:ind w:left="1418" w:hanging="284"/>
        <w:rPr>
          <w:sz w:val="24"/>
          <w:szCs w:val="24"/>
          <w:lang w:val="en-US"/>
        </w:rPr>
      </w:pPr>
      <w:r>
        <w:rPr>
          <w:sz w:val="24"/>
          <w:szCs w:val="24"/>
          <w:lang w:val="en-US"/>
        </w:rPr>
        <w:t>Rules – which now include some provisions that were in the Constitution</w:t>
      </w:r>
    </w:p>
    <w:p w14:paraId="1CFB0A2C" w14:textId="77777777" w:rsidR="00A72A35" w:rsidRDefault="00A72A35" w:rsidP="00A72A35">
      <w:pPr>
        <w:pStyle w:val="ListParagraph"/>
        <w:numPr>
          <w:ilvl w:val="0"/>
          <w:numId w:val="4"/>
        </w:numPr>
        <w:spacing w:line="276" w:lineRule="auto"/>
        <w:ind w:left="1418" w:hanging="284"/>
        <w:rPr>
          <w:sz w:val="24"/>
          <w:szCs w:val="24"/>
          <w:lang w:val="en-US"/>
        </w:rPr>
      </w:pPr>
      <w:r>
        <w:rPr>
          <w:sz w:val="24"/>
          <w:szCs w:val="24"/>
          <w:lang w:val="en-US"/>
        </w:rPr>
        <w:t>Refence to the name by which the LPC will be known – Community Pharmacy XX (from 1 April 2023, PSNC will be known as Community Pharmacy England) (RSG recommendation 32)</w:t>
      </w:r>
    </w:p>
    <w:p w14:paraId="65C2056F" w14:textId="77777777" w:rsidR="00A72A35" w:rsidRDefault="00A72A35" w:rsidP="00A72A35">
      <w:pPr>
        <w:pStyle w:val="ListParagraph"/>
        <w:numPr>
          <w:ilvl w:val="0"/>
          <w:numId w:val="4"/>
        </w:numPr>
        <w:spacing w:line="276" w:lineRule="auto"/>
        <w:ind w:left="1418" w:hanging="284"/>
        <w:rPr>
          <w:sz w:val="24"/>
          <w:szCs w:val="24"/>
          <w:lang w:val="en-US"/>
        </w:rPr>
      </w:pPr>
      <w:r>
        <w:rPr>
          <w:sz w:val="24"/>
          <w:szCs w:val="24"/>
          <w:lang w:val="en-US"/>
        </w:rPr>
        <w:t xml:space="preserve">References to guidance for LPCs published by PSNC </w:t>
      </w:r>
    </w:p>
    <w:p w14:paraId="38767989" w14:textId="77777777" w:rsidR="00A72A35" w:rsidRDefault="00A72A35" w:rsidP="00A72A35">
      <w:pPr>
        <w:pStyle w:val="ListParagraph"/>
        <w:numPr>
          <w:ilvl w:val="0"/>
          <w:numId w:val="4"/>
        </w:numPr>
        <w:spacing w:line="276" w:lineRule="auto"/>
        <w:ind w:left="1418" w:hanging="284"/>
        <w:rPr>
          <w:sz w:val="24"/>
          <w:szCs w:val="24"/>
          <w:lang w:val="en-US"/>
        </w:rPr>
      </w:pPr>
      <w:r>
        <w:rPr>
          <w:sz w:val="24"/>
          <w:szCs w:val="24"/>
          <w:lang w:val="en-US"/>
        </w:rPr>
        <w:t>‘as appropriate’ added so that reporting relevant complaints to contractors is determined by the LPC</w:t>
      </w:r>
    </w:p>
    <w:p w14:paraId="34214FCB" w14:textId="77777777" w:rsidR="00A72A35" w:rsidRDefault="00A72A35" w:rsidP="00A72A35">
      <w:pPr>
        <w:pStyle w:val="ListParagraph"/>
        <w:numPr>
          <w:ilvl w:val="0"/>
          <w:numId w:val="4"/>
        </w:numPr>
        <w:spacing w:line="276" w:lineRule="auto"/>
        <w:ind w:left="1418" w:hanging="284"/>
        <w:rPr>
          <w:sz w:val="24"/>
          <w:szCs w:val="24"/>
          <w:lang w:val="en-US"/>
        </w:rPr>
      </w:pPr>
      <w:r>
        <w:rPr>
          <w:sz w:val="24"/>
          <w:szCs w:val="24"/>
          <w:lang w:val="en-US"/>
        </w:rPr>
        <w:t>LPCs with provider companies to assist the contractors of those without them (RSG recommendation 37)</w:t>
      </w:r>
    </w:p>
    <w:p w14:paraId="7CFEDC1C" w14:textId="77777777" w:rsidR="00A72A35" w:rsidRDefault="00A72A35" w:rsidP="00A72A35">
      <w:pPr>
        <w:pStyle w:val="ListParagraph"/>
        <w:numPr>
          <w:ilvl w:val="0"/>
          <w:numId w:val="4"/>
        </w:numPr>
        <w:spacing w:line="276" w:lineRule="auto"/>
        <w:ind w:left="1418" w:hanging="284"/>
        <w:rPr>
          <w:sz w:val="24"/>
          <w:szCs w:val="24"/>
          <w:lang w:val="en-US"/>
        </w:rPr>
      </w:pPr>
      <w:r>
        <w:rPr>
          <w:sz w:val="24"/>
          <w:szCs w:val="24"/>
          <w:lang w:val="en-US"/>
        </w:rPr>
        <w:t>LPCs to more closely align with NHS Integrated Care Systems and consider their size (RSG recommendation 36)</w:t>
      </w:r>
    </w:p>
    <w:p w14:paraId="584F154F" w14:textId="77777777" w:rsidR="00A72A35" w:rsidRDefault="00A72A35" w:rsidP="00A72A35">
      <w:pPr>
        <w:pStyle w:val="ListParagraph"/>
        <w:numPr>
          <w:ilvl w:val="0"/>
          <w:numId w:val="4"/>
        </w:numPr>
        <w:spacing w:line="276" w:lineRule="auto"/>
        <w:ind w:left="1418" w:hanging="284"/>
        <w:rPr>
          <w:sz w:val="24"/>
          <w:szCs w:val="24"/>
          <w:lang w:val="en-US"/>
        </w:rPr>
      </w:pPr>
      <w:r>
        <w:rPr>
          <w:sz w:val="24"/>
          <w:szCs w:val="24"/>
          <w:lang w:val="en-US"/>
        </w:rPr>
        <w:t>The number of LPC members for each LPC to be between 10 and 12, provided that this properly represents contractors (RSG recommendation 33)</w:t>
      </w:r>
    </w:p>
    <w:p w14:paraId="7FBDF937" w14:textId="77777777" w:rsidR="00A72A35" w:rsidRDefault="00A72A35" w:rsidP="00A72A35">
      <w:pPr>
        <w:pStyle w:val="ListParagraph"/>
        <w:numPr>
          <w:ilvl w:val="0"/>
          <w:numId w:val="4"/>
        </w:numPr>
        <w:spacing w:line="276" w:lineRule="auto"/>
        <w:ind w:left="1418" w:hanging="284"/>
        <w:rPr>
          <w:sz w:val="24"/>
          <w:szCs w:val="24"/>
          <w:lang w:val="en-US"/>
        </w:rPr>
      </w:pPr>
      <w:r>
        <w:rPr>
          <w:sz w:val="24"/>
          <w:szCs w:val="24"/>
          <w:lang w:val="en-US"/>
        </w:rPr>
        <w:t>Appointments should represent Integrated Care Systems and Health and Wellbeing Board areas where possible but also where proportionate to the number of relevant contracts</w:t>
      </w:r>
    </w:p>
    <w:p w14:paraId="360EBEDF" w14:textId="77777777" w:rsidR="00A72A35" w:rsidRDefault="00A72A35" w:rsidP="00A72A35">
      <w:pPr>
        <w:pStyle w:val="ListParagraph"/>
        <w:numPr>
          <w:ilvl w:val="0"/>
          <w:numId w:val="4"/>
        </w:numPr>
        <w:spacing w:line="276" w:lineRule="auto"/>
        <w:ind w:left="1418" w:hanging="284"/>
        <w:rPr>
          <w:sz w:val="24"/>
          <w:szCs w:val="24"/>
          <w:lang w:val="en-US"/>
        </w:rPr>
      </w:pPr>
      <w:r>
        <w:rPr>
          <w:sz w:val="24"/>
          <w:szCs w:val="24"/>
          <w:lang w:val="en-US"/>
        </w:rPr>
        <w:t>Word ‘contractors’ added to confirm that CCA and AIMp nominate LPC members for representation of local contractors</w:t>
      </w:r>
    </w:p>
    <w:p w14:paraId="6EBD4FA5" w14:textId="79B34E23" w:rsidR="00A72A35" w:rsidRDefault="00A72A35" w:rsidP="00A72A35">
      <w:pPr>
        <w:pStyle w:val="ListParagraph"/>
        <w:numPr>
          <w:ilvl w:val="0"/>
          <w:numId w:val="4"/>
        </w:numPr>
        <w:spacing w:line="276" w:lineRule="auto"/>
        <w:ind w:left="1418" w:hanging="284"/>
        <w:rPr>
          <w:sz w:val="24"/>
          <w:szCs w:val="24"/>
          <w:lang w:val="en-US"/>
        </w:rPr>
      </w:pPr>
      <w:r>
        <w:rPr>
          <w:sz w:val="24"/>
          <w:szCs w:val="24"/>
          <w:lang w:val="en-US"/>
        </w:rPr>
        <w:t>All terms of office staring in 2023 to end in 2027</w:t>
      </w:r>
      <w:r w:rsidR="627CC9B8" w:rsidRPr="4210AEA2">
        <w:rPr>
          <w:sz w:val="24"/>
          <w:szCs w:val="24"/>
          <w:lang w:val="en-US"/>
        </w:rPr>
        <w:t xml:space="preserve"> </w:t>
      </w:r>
      <w:r>
        <w:rPr>
          <w:sz w:val="24"/>
          <w:szCs w:val="24"/>
          <w:lang w:val="en-US"/>
        </w:rPr>
        <w:t>- added so that if LPCs take a few extra months to organize RSG related changes to size and boundaries, the next LPC terms all end at the same time</w:t>
      </w:r>
    </w:p>
    <w:p w14:paraId="6FA55696" w14:textId="77777777" w:rsidR="00A72A35" w:rsidRDefault="00A72A35" w:rsidP="00A72A35">
      <w:pPr>
        <w:pStyle w:val="ListParagraph"/>
        <w:numPr>
          <w:ilvl w:val="0"/>
          <w:numId w:val="4"/>
        </w:numPr>
        <w:spacing w:line="276" w:lineRule="auto"/>
        <w:ind w:left="1418" w:hanging="284"/>
        <w:rPr>
          <w:sz w:val="24"/>
          <w:szCs w:val="24"/>
          <w:lang w:val="en-US"/>
        </w:rPr>
      </w:pPr>
      <w:r>
        <w:rPr>
          <w:sz w:val="24"/>
          <w:szCs w:val="24"/>
          <w:lang w:val="en-US"/>
        </w:rPr>
        <w:t>12 year term of office provided for (RSG recommendation 2, applied to LPCs and PSNC)</w:t>
      </w:r>
    </w:p>
    <w:p w14:paraId="34F7BD31" w14:textId="77777777" w:rsidR="00A72A35" w:rsidRDefault="00A72A35" w:rsidP="00A72A35">
      <w:pPr>
        <w:pStyle w:val="ListParagraph"/>
        <w:numPr>
          <w:ilvl w:val="0"/>
          <w:numId w:val="4"/>
        </w:numPr>
        <w:spacing w:line="276" w:lineRule="auto"/>
        <w:ind w:left="1418" w:hanging="284"/>
        <w:rPr>
          <w:sz w:val="24"/>
          <w:szCs w:val="24"/>
          <w:lang w:val="en-US"/>
        </w:rPr>
      </w:pPr>
      <w:r>
        <w:rPr>
          <w:sz w:val="24"/>
          <w:szCs w:val="24"/>
          <w:lang w:val="en-US"/>
        </w:rPr>
        <w:t>Pandemic provision – added by one LPC during the COVID pandemic and now applied to all LPCs</w:t>
      </w:r>
    </w:p>
    <w:p w14:paraId="2E2E1D23" w14:textId="2443552E" w:rsidR="00A72A35" w:rsidRDefault="00A72A35" w:rsidP="00A72A35">
      <w:pPr>
        <w:pStyle w:val="ListParagraph"/>
        <w:numPr>
          <w:ilvl w:val="0"/>
          <w:numId w:val="4"/>
        </w:numPr>
        <w:spacing w:line="276" w:lineRule="auto"/>
        <w:ind w:left="1418" w:hanging="284"/>
        <w:rPr>
          <w:sz w:val="24"/>
          <w:szCs w:val="24"/>
          <w:lang w:val="en-US"/>
        </w:rPr>
      </w:pPr>
      <w:r>
        <w:rPr>
          <w:sz w:val="24"/>
          <w:szCs w:val="24"/>
          <w:lang w:val="en-US"/>
        </w:rPr>
        <w:t>References to electronic voting added</w:t>
      </w:r>
    </w:p>
    <w:p w14:paraId="7A1867B1" w14:textId="77777777" w:rsidR="00A72A35" w:rsidRDefault="00A72A35" w:rsidP="00A72A35">
      <w:pPr>
        <w:pStyle w:val="ListParagraph"/>
        <w:numPr>
          <w:ilvl w:val="0"/>
          <w:numId w:val="4"/>
        </w:numPr>
        <w:spacing w:line="276" w:lineRule="auto"/>
        <w:ind w:left="1418" w:hanging="284"/>
        <w:rPr>
          <w:sz w:val="24"/>
          <w:szCs w:val="24"/>
          <w:lang w:val="en-US"/>
        </w:rPr>
      </w:pPr>
      <w:r>
        <w:rPr>
          <w:sz w:val="24"/>
          <w:szCs w:val="24"/>
          <w:lang w:val="en-US"/>
        </w:rPr>
        <w:t>Rules and Approved Governance to be amended by the LPC, except that Rule 3 on the election process may only be changed by contractors – similar to usual constitution changes</w:t>
      </w:r>
    </w:p>
    <w:p w14:paraId="154ED9C1" w14:textId="77777777" w:rsidR="00A72A35" w:rsidRDefault="00A72A35" w:rsidP="00A72A35">
      <w:pPr>
        <w:pStyle w:val="ListParagraph"/>
        <w:numPr>
          <w:ilvl w:val="0"/>
          <w:numId w:val="4"/>
        </w:numPr>
        <w:spacing w:line="276" w:lineRule="auto"/>
        <w:ind w:left="1418" w:hanging="284"/>
        <w:rPr>
          <w:sz w:val="24"/>
          <w:szCs w:val="24"/>
          <w:lang w:val="en-US"/>
        </w:rPr>
      </w:pPr>
      <w:r>
        <w:rPr>
          <w:sz w:val="24"/>
          <w:szCs w:val="24"/>
          <w:lang w:val="en-US"/>
        </w:rPr>
        <w:t>LPC payments to PSNC to be automatic and visible to contractors (RSG recommendation 12)</w:t>
      </w:r>
    </w:p>
    <w:p w14:paraId="0D047CAF" w14:textId="77777777" w:rsidR="00A72A35" w:rsidRDefault="00A72A35" w:rsidP="00A72A35">
      <w:pPr>
        <w:pStyle w:val="ListParagraph"/>
        <w:numPr>
          <w:ilvl w:val="0"/>
          <w:numId w:val="4"/>
        </w:numPr>
        <w:spacing w:line="276" w:lineRule="auto"/>
        <w:ind w:left="1418" w:hanging="284"/>
        <w:rPr>
          <w:sz w:val="24"/>
          <w:szCs w:val="24"/>
          <w:lang w:val="en-US"/>
        </w:rPr>
      </w:pPr>
      <w:r>
        <w:rPr>
          <w:sz w:val="24"/>
          <w:szCs w:val="24"/>
          <w:lang w:val="en-US"/>
        </w:rPr>
        <w:t>Provision for the existing Committee to continue its term</w:t>
      </w:r>
    </w:p>
    <w:p w14:paraId="00300890" w14:textId="34891C83" w:rsidR="00A72A35" w:rsidRDefault="00A72A35" w:rsidP="00A72A35">
      <w:pPr>
        <w:pStyle w:val="ListParagraph"/>
        <w:numPr>
          <w:ilvl w:val="0"/>
          <w:numId w:val="4"/>
        </w:numPr>
        <w:spacing w:line="276" w:lineRule="auto"/>
        <w:ind w:left="1418" w:hanging="284"/>
        <w:rPr>
          <w:sz w:val="24"/>
          <w:szCs w:val="24"/>
          <w:lang w:val="en-US"/>
        </w:rPr>
      </w:pPr>
      <w:r>
        <w:rPr>
          <w:sz w:val="24"/>
          <w:szCs w:val="24"/>
          <w:lang w:val="en-US"/>
        </w:rPr>
        <w:lastRenderedPageBreak/>
        <w:t xml:space="preserve"> Provision for </w:t>
      </w:r>
      <w:r w:rsidR="2DC81F38" w:rsidRPr="2DC81F38">
        <w:rPr>
          <w:sz w:val="24"/>
          <w:szCs w:val="24"/>
          <w:lang w:val="en-US"/>
        </w:rPr>
        <w:t xml:space="preserve">transitional arrangements - for </w:t>
      </w:r>
      <w:r>
        <w:rPr>
          <w:sz w:val="24"/>
          <w:szCs w:val="24"/>
          <w:lang w:val="en-US"/>
        </w:rPr>
        <w:t>further RSG related changes to the Constitution to be made by the LPC</w:t>
      </w:r>
    </w:p>
    <w:p w14:paraId="4DC53EA0" w14:textId="77777777" w:rsidR="00A72A35" w:rsidRDefault="00A72A35" w:rsidP="00A72A35">
      <w:pPr>
        <w:pStyle w:val="ListParagraph"/>
        <w:numPr>
          <w:ilvl w:val="0"/>
          <w:numId w:val="4"/>
        </w:numPr>
        <w:spacing w:line="276" w:lineRule="auto"/>
        <w:ind w:left="1560" w:hanging="426"/>
        <w:rPr>
          <w:sz w:val="24"/>
          <w:szCs w:val="24"/>
          <w:lang w:val="en-US"/>
        </w:rPr>
      </w:pPr>
      <w:r>
        <w:rPr>
          <w:sz w:val="24"/>
          <w:szCs w:val="24"/>
          <w:lang w:val="en-US"/>
        </w:rPr>
        <w:t>Rules – general provision to include any relevant sanction affecting fitness to be an LPC member</w:t>
      </w:r>
    </w:p>
    <w:p w14:paraId="23005074" w14:textId="5E30D6FF" w:rsidR="00A72A35" w:rsidRDefault="00A72A35" w:rsidP="00A72A35">
      <w:pPr>
        <w:pStyle w:val="ListParagraph"/>
        <w:numPr>
          <w:ilvl w:val="0"/>
          <w:numId w:val="4"/>
        </w:numPr>
        <w:spacing w:line="276" w:lineRule="auto"/>
        <w:ind w:left="1560" w:hanging="426"/>
        <w:rPr>
          <w:sz w:val="24"/>
          <w:szCs w:val="24"/>
          <w:lang w:val="en-US"/>
        </w:rPr>
      </w:pPr>
      <w:r>
        <w:rPr>
          <w:sz w:val="24"/>
          <w:szCs w:val="24"/>
          <w:lang w:val="en-US"/>
        </w:rPr>
        <w:t>Rules – Time for ineligibility following removal from the LPC for a relevant sanction</w:t>
      </w:r>
      <w:r w:rsidR="2DC81F38" w:rsidRPr="2DC81F38">
        <w:rPr>
          <w:sz w:val="24"/>
          <w:szCs w:val="24"/>
          <w:lang w:val="en-US"/>
        </w:rPr>
        <w:t xml:space="preserve"> revised</w:t>
      </w:r>
    </w:p>
    <w:p w14:paraId="180096AF" w14:textId="77777777" w:rsidR="00A72A35" w:rsidRDefault="00A72A35" w:rsidP="00A72A35">
      <w:pPr>
        <w:pStyle w:val="ListParagraph"/>
        <w:numPr>
          <w:ilvl w:val="0"/>
          <w:numId w:val="4"/>
        </w:numPr>
        <w:spacing w:line="276" w:lineRule="auto"/>
        <w:ind w:left="1560" w:hanging="426"/>
        <w:rPr>
          <w:sz w:val="24"/>
          <w:szCs w:val="24"/>
          <w:lang w:val="en-US"/>
        </w:rPr>
      </w:pPr>
      <w:r>
        <w:rPr>
          <w:sz w:val="24"/>
          <w:szCs w:val="24"/>
          <w:lang w:val="en-US"/>
        </w:rPr>
        <w:t>Rules – for breach of governance – period of ineligibility following removal for the current term or 12 months whichever is the greater to ensure removals close to the end of a term of office have a relevant sanction</w:t>
      </w:r>
    </w:p>
    <w:p w14:paraId="11781BB6" w14:textId="62E549D8" w:rsidR="2DC81F38" w:rsidRDefault="2DC81F38" w:rsidP="2DC81F38">
      <w:pPr>
        <w:pStyle w:val="ListParagraph"/>
        <w:numPr>
          <w:ilvl w:val="0"/>
          <w:numId w:val="4"/>
        </w:numPr>
        <w:spacing w:line="276" w:lineRule="auto"/>
        <w:ind w:left="1560" w:hanging="426"/>
        <w:rPr>
          <w:sz w:val="24"/>
          <w:szCs w:val="24"/>
          <w:lang w:val="en-US"/>
        </w:rPr>
      </w:pPr>
      <w:r w:rsidRPr="2DC81F38">
        <w:rPr>
          <w:sz w:val="24"/>
          <w:szCs w:val="24"/>
          <w:lang w:val="en-US"/>
        </w:rPr>
        <w:t>Minor typographical corrections</w:t>
      </w:r>
    </w:p>
    <w:p w14:paraId="69A1716B" w14:textId="77777777" w:rsidR="00A72A35" w:rsidRDefault="00A72A35" w:rsidP="00A72A35">
      <w:pPr>
        <w:spacing w:line="276" w:lineRule="auto"/>
        <w:rPr>
          <w:b/>
          <w:bCs/>
          <w:sz w:val="24"/>
          <w:szCs w:val="24"/>
        </w:rPr>
      </w:pPr>
      <w:r>
        <w:rPr>
          <w:b/>
          <w:bCs/>
          <w:sz w:val="24"/>
          <w:szCs w:val="24"/>
        </w:rPr>
        <w:t>The later wider LPC/PSNC governance changes</w:t>
      </w:r>
    </w:p>
    <w:p w14:paraId="3347017C" w14:textId="77777777" w:rsidR="005F7621" w:rsidRDefault="00A72A35" w:rsidP="005F7621">
      <w:pPr>
        <w:pStyle w:val="ListParagraph"/>
        <w:numPr>
          <w:ilvl w:val="0"/>
          <w:numId w:val="3"/>
        </w:numPr>
        <w:spacing w:after="120" w:line="276" w:lineRule="auto"/>
        <w:rPr>
          <w:sz w:val="24"/>
          <w:szCs w:val="24"/>
          <w:lang w:val="en-US"/>
        </w:rPr>
      </w:pPr>
      <w:r>
        <w:rPr>
          <w:sz w:val="24"/>
          <w:szCs w:val="24"/>
          <w:lang w:val="en-US"/>
        </w:rPr>
        <w:t>There will be later changes to LPC and PSNC governance, to be introduced through practices and procedures called Approved Governance.</w:t>
      </w:r>
    </w:p>
    <w:p w14:paraId="31FFBFB8" w14:textId="77777777" w:rsidR="005F7621" w:rsidRPr="005F7621" w:rsidRDefault="00A72A35" w:rsidP="00A72A35">
      <w:pPr>
        <w:pStyle w:val="ListParagraph"/>
        <w:numPr>
          <w:ilvl w:val="0"/>
          <w:numId w:val="3"/>
        </w:numPr>
        <w:spacing w:after="120" w:line="276" w:lineRule="auto"/>
        <w:rPr>
          <w:sz w:val="24"/>
          <w:szCs w:val="24"/>
          <w:lang w:val="en-US"/>
        </w:rPr>
      </w:pPr>
      <w:r w:rsidRPr="005F7621">
        <w:rPr>
          <w:sz w:val="24"/>
          <w:szCs w:val="24"/>
        </w:rPr>
        <w:t>The Approved Governance will be added in 2023 and PSNC and LPCs will work together to establish this.</w:t>
      </w:r>
    </w:p>
    <w:p w14:paraId="22BC316B" w14:textId="261C97FE" w:rsidR="00A72A35" w:rsidRPr="005F7621" w:rsidRDefault="00A72A35" w:rsidP="005F7621">
      <w:pPr>
        <w:spacing w:after="120" w:line="276" w:lineRule="auto"/>
        <w:rPr>
          <w:sz w:val="24"/>
          <w:szCs w:val="24"/>
        </w:rPr>
      </w:pPr>
      <w:r w:rsidRPr="005F7621">
        <w:rPr>
          <w:b/>
          <w:bCs/>
          <w:sz w:val="24"/>
          <w:szCs w:val="24"/>
        </w:rPr>
        <w:t>Provision to avoid a second contractor vote for RSG changes to the constitution</w:t>
      </w:r>
    </w:p>
    <w:p w14:paraId="28C0A705" w14:textId="77777777" w:rsidR="000C3C09" w:rsidRPr="000C3C09" w:rsidRDefault="00A72A35" w:rsidP="005F7621">
      <w:pPr>
        <w:pStyle w:val="ListParagraph"/>
        <w:numPr>
          <w:ilvl w:val="0"/>
          <w:numId w:val="3"/>
        </w:numPr>
        <w:spacing w:after="120" w:line="276" w:lineRule="auto"/>
        <w:rPr>
          <w:sz w:val="24"/>
          <w:szCs w:val="24"/>
          <w:lang w:val="en-US"/>
        </w:rPr>
      </w:pPr>
      <w:r>
        <w:rPr>
          <w:sz w:val="24"/>
          <w:szCs w:val="24"/>
          <w:lang w:val="en-US"/>
        </w:rPr>
        <w:t>There is a transitional provision in the draft constitution for any further changes by the LPC to its Constitution as part of the RSG process.</w:t>
      </w:r>
    </w:p>
    <w:p w14:paraId="46BBAE14" w14:textId="366D500B" w:rsidR="2DC81F38" w:rsidRDefault="2DC81F38" w:rsidP="2DC81F38">
      <w:pPr>
        <w:spacing w:line="276" w:lineRule="auto"/>
        <w:rPr>
          <w:b/>
          <w:bCs/>
          <w:sz w:val="24"/>
          <w:szCs w:val="24"/>
        </w:rPr>
      </w:pPr>
      <w:r w:rsidRPr="2DC81F38">
        <w:rPr>
          <w:b/>
          <w:bCs/>
          <w:sz w:val="24"/>
          <w:szCs w:val="24"/>
        </w:rPr>
        <w:t>The Association of Independent Multiples</w:t>
      </w:r>
    </w:p>
    <w:p w14:paraId="5353E1B5" w14:textId="1A262794" w:rsidR="2DC81F38" w:rsidRDefault="2DC81F38" w:rsidP="005F7621">
      <w:pPr>
        <w:pStyle w:val="ListParagraph"/>
        <w:numPr>
          <w:ilvl w:val="0"/>
          <w:numId w:val="3"/>
        </w:numPr>
        <w:spacing w:after="120" w:line="276" w:lineRule="auto"/>
        <w:rPr>
          <w:sz w:val="24"/>
          <w:szCs w:val="24"/>
          <w:lang w:val="en-US"/>
        </w:rPr>
      </w:pPr>
      <w:r w:rsidRPr="2DC81F38">
        <w:rPr>
          <w:sz w:val="24"/>
          <w:szCs w:val="24"/>
          <w:lang w:val="en-US"/>
        </w:rPr>
        <w:t>Contractor members of the Association of Independent Multiples (AIMp) and their NHS pharmacy premises are one cohort for the purposes of representation on LPCs – reference to AIMp have been returned to their pre-September 2022 position.</w:t>
      </w:r>
    </w:p>
    <w:p w14:paraId="4076602F" w14:textId="6ED9303A" w:rsidR="2DC81F38" w:rsidRDefault="2DC81F38" w:rsidP="2DC81F38">
      <w:pPr>
        <w:spacing w:line="276" w:lineRule="auto"/>
        <w:rPr>
          <w:b/>
          <w:bCs/>
          <w:sz w:val="24"/>
          <w:szCs w:val="24"/>
        </w:rPr>
      </w:pPr>
      <w:r w:rsidRPr="2DC81F38">
        <w:rPr>
          <w:b/>
          <w:bCs/>
          <w:sz w:val="24"/>
          <w:szCs w:val="24"/>
        </w:rPr>
        <w:t>LPC Model Constitution and Rules</w:t>
      </w:r>
    </w:p>
    <w:p w14:paraId="6899795E" w14:textId="4EA96522" w:rsidR="2DC81F38" w:rsidRPr="00562B69" w:rsidRDefault="2DC81F38" w:rsidP="2DC81F38">
      <w:pPr>
        <w:pStyle w:val="ListParagraph"/>
        <w:numPr>
          <w:ilvl w:val="0"/>
          <w:numId w:val="3"/>
        </w:numPr>
        <w:spacing w:line="276" w:lineRule="auto"/>
        <w:rPr>
          <w:color w:val="FF0000"/>
          <w:sz w:val="24"/>
          <w:szCs w:val="24"/>
          <w:lang w:val="en-US"/>
        </w:rPr>
      </w:pPr>
      <w:r w:rsidRPr="2DC81F38">
        <w:rPr>
          <w:sz w:val="24"/>
          <w:szCs w:val="24"/>
          <w:lang w:val="en-US"/>
        </w:rPr>
        <w:t xml:space="preserve">The LPC Model Constitution and Rules effective 25 November 2022 </w:t>
      </w:r>
      <w:r w:rsidR="00562B69">
        <w:rPr>
          <w:sz w:val="24"/>
          <w:szCs w:val="24"/>
          <w:lang w:val="en-US"/>
        </w:rPr>
        <w:t xml:space="preserve">can be </w:t>
      </w:r>
      <w:r w:rsidR="00562B69" w:rsidRPr="00D3445A">
        <w:rPr>
          <w:sz w:val="24"/>
          <w:szCs w:val="24"/>
          <w:lang w:val="en-US"/>
        </w:rPr>
        <w:t xml:space="preserve">downloaded from the LPC website, </w:t>
      </w:r>
      <w:hyperlink r:id="rId11" w:history="1">
        <w:r w:rsidR="00562B69" w:rsidRPr="00D3445A">
          <w:rPr>
            <w:rStyle w:val="Hyperlink"/>
            <w:sz w:val="24"/>
            <w:szCs w:val="24"/>
            <w:lang w:val="en-US"/>
          </w:rPr>
          <w:t>click here</w:t>
        </w:r>
      </w:hyperlink>
      <w:r w:rsidR="00562B69" w:rsidRPr="00562B69">
        <w:rPr>
          <w:color w:val="FF0000"/>
          <w:sz w:val="24"/>
          <w:szCs w:val="24"/>
          <w:lang w:val="en-US"/>
        </w:rPr>
        <w:t>.</w:t>
      </w:r>
      <w:r w:rsidR="00D3445A">
        <w:rPr>
          <w:color w:val="FF0000"/>
          <w:sz w:val="24"/>
          <w:szCs w:val="24"/>
          <w:lang w:val="en-US"/>
        </w:rPr>
        <w:t xml:space="preserve"> </w:t>
      </w:r>
      <w:r w:rsidR="00D3445A">
        <w:rPr>
          <w:sz w:val="24"/>
          <w:szCs w:val="24"/>
          <w:lang w:val="en-US"/>
        </w:rPr>
        <w:t>(</w:t>
      </w:r>
      <w:hyperlink r:id="rId12" w:history="1">
        <w:r w:rsidR="00D3445A" w:rsidRPr="00E64503">
          <w:rPr>
            <w:rStyle w:val="Hyperlink"/>
            <w:sz w:val="24"/>
            <w:szCs w:val="24"/>
            <w:lang w:val="en-US"/>
          </w:rPr>
          <w:t>https://devonlpc.org/about-us/your-lpc/transforming-pharmacy-representation-tapr-programme/)</w:t>
        </w:r>
      </w:hyperlink>
    </w:p>
    <w:p w14:paraId="7C84E6AB" w14:textId="40BDEBE3" w:rsidR="00A72A35" w:rsidRDefault="00A72A35" w:rsidP="00A72A35">
      <w:pPr>
        <w:pStyle w:val="ListParagraph"/>
        <w:spacing w:line="276" w:lineRule="auto"/>
        <w:rPr>
          <w:sz w:val="24"/>
          <w:szCs w:val="24"/>
          <w:lang w:val="en-US"/>
        </w:rPr>
      </w:pPr>
    </w:p>
    <w:p w14:paraId="5E9285F2" w14:textId="3F4C2F9A" w:rsidR="008A289E" w:rsidRPr="00145CA1" w:rsidRDefault="008A289E" w:rsidP="2DC81F38">
      <w:pPr>
        <w:spacing w:after="240"/>
        <w:jc w:val="both"/>
        <w:rPr>
          <w:sz w:val="24"/>
          <w:szCs w:val="24"/>
        </w:rPr>
      </w:pPr>
    </w:p>
    <w:sectPr w:rsidR="008A289E" w:rsidRPr="00145CA1" w:rsidSect="007E23A8">
      <w:pgSz w:w="12240" w:h="15840"/>
      <w:pgMar w:top="640" w:right="122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30370" w14:textId="77777777" w:rsidR="00305C16" w:rsidRDefault="00305C16" w:rsidP="00790CB6">
      <w:r>
        <w:separator/>
      </w:r>
    </w:p>
  </w:endnote>
  <w:endnote w:type="continuationSeparator" w:id="0">
    <w:p w14:paraId="699C61C9" w14:textId="77777777" w:rsidR="00305C16" w:rsidRDefault="00305C16" w:rsidP="00790CB6">
      <w:r>
        <w:continuationSeparator/>
      </w:r>
    </w:p>
  </w:endnote>
  <w:endnote w:type="continuationNotice" w:id="1">
    <w:p w14:paraId="1C9CA0F4" w14:textId="77777777" w:rsidR="00305C16" w:rsidRDefault="00305C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360DD" w14:textId="77777777" w:rsidR="00305C16" w:rsidRDefault="00305C16" w:rsidP="00790CB6">
      <w:r>
        <w:separator/>
      </w:r>
    </w:p>
  </w:footnote>
  <w:footnote w:type="continuationSeparator" w:id="0">
    <w:p w14:paraId="22B3EF3A" w14:textId="77777777" w:rsidR="00305C16" w:rsidRDefault="00305C16" w:rsidP="00790CB6">
      <w:r>
        <w:continuationSeparator/>
      </w:r>
    </w:p>
  </w:footnote>
  <w:footnote w:type="continuationNotice" w:id="1">
    <w:p w14:paraId="0698661D" w14:textId="77777777" w:rsidR="00305C16" w:rsidRDefault="00305C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4AA51FC"/>
    <w:lvl w:ilvl="0">
      <w:start w:val="1"/>
      <w:numFmt w:val="upperRoman"/>
      <w:pStyle w:val="ListNumber"/>
      <w:lvlText w:val="%1."/>
      <w:lvlJc w:val="right"/>
      <w:pPr>
        <w:tabs>
          <w:tab w:val="num" w:pos="180"/>
        </w:tabs>
        <w:ind w:left="180" w:hanging="180"/>
      </w:pPr>
    </w:lvl>
  </w:abstractNum>
  <w:abstractNum w:abstractNumId="1" w15:restartNumberingAfterBreak="0">
    <w:nsid w:val="099952A8"/>
    <w:multiLevelType w:val="hybridMultilevel"/>
    <w:tmpl w:val="935A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439C9"/>
    <w:multiLevelType w:val="hybridMultilevel"/>
    <w:tmpl w:val="C6B6C34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B58416B"/>
    <w:multiLevelType w:val="hybridMultilevel"/>
    <w:tmpl w:val="B64E714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30671A42"/>
    <w:multiLevelType w:val="hybridMultilevel"/>
    <w:tmpl w:val="0EE0101E"/>
    <w:lvl w:ilvl="0" w:tplc="6AAA65F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9F1196D"/>
    <w:multiLevelType w:val="hybridMultilevel"/>
    <w:tmpl w:val="4080D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B2186C"/>
    <w:multiLevelType w:val="hybridMultilevel"/>
    <w:tmpl w:val="1228E9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47251AC"/>
    <w:multiLevelType w:val="multilevel"/>
    <w:tmpl w:val="F0EAC0BA"/>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8" w15:restartNumberingAfterBreak="0">
    <w:nsid w:val="6B503509"/>
    <w:multiLevelType w:val="hybridMultilevel"/>
    <w:tmpl w:val="BCC8B7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96620DF"/>
    <w:multiLevelType w:val="hybridMultilevel"/>
    <w:tmpl w:val="4A5C44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36939975">
    <w:abstractNumId w:val="0"/>
    <w:lvlOverride w:ilvl="0">
      <w:startOverride w:val="1"/>
    </w:lvlOverride>
  </w:num>
  <w:num w:numId="2" w16cid:durableId="15880779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147898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41277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8229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63244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019986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33176072">
    <w:abstractNumId w:val="7"/>
  </w:num>
  <w:num w:numId="9" w16cid:durableId="972560921">
    <w:abstractNumId w:val="2"/>
  </w:num>
  <w:num w:numId="10" w16cid:durableId="1610043347">
    <w:abstractNumId w:val="1"/>
  </w:num>
  <w:num w:numId="11" w16cid:durableId="14989593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3A8"/>
    <w:rsid w:val="000246C7"/>
    <w:rsid w:val="00034014"/>
    <w:rsid w:val="00037C0B"/>
    <w:rsid w:val="00043677"/>
    <w:rsid w:val="00047551"/>
    <w:rsid w:val="00070C7B"/>
    <w:rsid w:val="000727D0"/>
    <w:rsid w:val="0008331F"/>
    <w:rsid w:val="000926D3"/>
    <w:rsid w:val="00092EAD"/>
    <w:rsid w:val="00096F5A"/>
    <w:rsid w:val="000A1690"/>
    <w:rsid w:val="000C17E4"/>
    <w:rsid w:val="000C3C09"/>
    <w:rsid w:val="000E1D84"/>
    <w:rsid w:val="000E1D9B"/>
    <w:rsid w:val="000E5558"/>
    <w:rsid w:val="000F241E"/>
    <w:rsid w:val="00111F06"/>
    <w:rsid w:val="001225AB"/>
    <w:rsid w:val="00122DFE"/>
    <w:rsid w:val="00147888"/>
    <w:rsid w:val="0016371C"/>
    <w:rsid w:val="00183CD5"/>
    <w:rsid w:val="001A3D28"/>
    <w:rsid w:val="001A6C57"/>
    <w:rsid w:val="001C070E"/>
    <w:rsid w:val="001D6C91"/>
    <w:rsid w:val="001E2EC6"/>
    <w:rsid w:val="001F2464"/>
    <w:rsid w:val="002123A0"/>
    <w:rsid w:val="00213B0F"/>
    <w:rsid w:val="002221B8"/>
    <w:rsid w:val="00222D01"/>
    <w:rsid w:val="00261275"/>
    <w:rsid w:val="002B6ED6"/>
    <w:rsid w:val="002BA34E"/>
    <w:rsid w:val="002E13C1"/>
    <w:rsid w:val="002F2DAF"/>
    <w:rsid w:val="00305C16"/>
    <w:rsid w:val="00353783"/>
    <w:rsid w:val="00363BC8"/>
    <w:rsid w:val="00393617"/>
    <w:rsid w:val="0039602F"/>
    <w:rsid w:val="003C1E7E"/>
    <w:rsid w:val="003F1492"/>
    <w:rsid w:val="00404331"/>
    <w:rsid w:val="00410952"/>
    <w:rsid w:val="00427937"/>
    <w:rsid w:val="00430214"/>
    <w:rsid w:val="00436261"/>
    <w:rsid w:val="00441C83"/>
    <w:rsid w:val="00451890"/>
    <w:rsid w:val="00477173"/>
    <w:rsid w:val="004913C1"/>
    <w:rsid w:val="004D27FE"/>
    <w:rsid w:val="00504AA5"/>
    <w:rsid w:val="0051106F"/>
    <w:rsid w:val="00530A5C"/>
    <w:rsid w:val="00562B69"/>
    <w:rsid w:val="00562DDA"/>
    <w:rsid w:val="005B4CAD"/>
    <w:rsid w:val="005C6639"/>
    <w:rsid w:val="005F7621"/>
    <w:rsid w:val="006231E3"/>
    <w:rsid w:val="006447BF"/>
    <w:rsid w:val="006653BE"/>
    <w:rsid w:val="00676627"/>
    <w:rsid w:val="006810A1"/>
    <w:rsid w:val="0069743E"/>
    <w:rsid w:val="006A25A5"/>
    <w:rsid w:val="006B640E"/>
    <w:rsid w:val="006C2B27"/>
    <w:rsid w:val="006C2E6D"/>
    <w:rsid w:val="006C76D4"/>
    <w:rsid w:val="006C79B2"/>
    <w:rsid w:val="006F6FBD"/>
    <w:rsid w:val="00765E84"/>
    <w:rsid w:val="00773AE8"/>
    <w:rsid w:val="007812EA"/>
    <w:rsid w:val="00790CB6"/>
    <w:rsid w:val="007A54A2"/>
    <w:rsid w:val="007C0A6F"/>
    <w:rsid w:val="007E23A8"/>
    <w:rsid w:val="007F5375"/>
    <w:rsid w:val="00803140"/>
    <w:rsid w:val="008037F5"/>
    <w:rsid w:val="00807CBD"/>
    <w:rsid w:val="008250C9"/>
    <w:rsid w:val="00851CC9"/>
    <w:rsid w:val="008566B2"/>
    <w:rsid w:val="0085733F"/>
    <w:rsid w:val="008671CF"/>
    <w:rsid w:val="00872C92"/>
    <w:rsid w:val="0087B687"/>
    <w:rsid w:val="008A289E"/>
    <w:rsid w:val="008C15F6"/>
    <w:rsid w:val="008DA805"/>
    <w:rsid w:val="008E3396"/>
    <w:rsid w:val="008E4175"/>
    <w:rsid w:val="008F7ED1"/>
    <w:rsid w:val="00906504"/>
    <w:rsid w:val="00906A68"/>
    <w:rsid w:val="00926883"/>
    <w:rsid w:val="00964A48"/>
    <w:rsid w:val="009679CE"/>
    <w:rsid w:val="00992511"/>
    <w:rsid w:val="0099494A"/>
    <w:rsid w:val="009A08E8"/>
    <w:rsid w:val="009E1A1F"/>
    <w:rsid w:val="009E2BA6"/>
    <w:rsid w:val="00A07602"/>
    <w:rsid w:val="00A0787A"/>
    <w:rsid w:val="00A14D55"/>
    <w:rsid w:val="00A21FB2"/>
    <w:rsid w:val="00A25DEE"/>
    <w:rsid w:val="00A37A2C"/>
    <w:rsid w:val="00A54647"/>
    <w:rsid w:val="00A72A35"/>
    <w:rsid w:val="00AA5ED2"/>
    <w:rsid w:val="00AB6A7B"/>
    <w:rsid w:val="00AD2A9A"/>
    <w:rsid w:val="00AE335A"/>
    <w:rsid w:val="00AE6570"/>
    <w:rsid w:val="00AE6AD0"/>
    <w:rsid w:val="00B11DED"/>
    <w:rsid w:val="00B45137"/>
    <w:rsid w:val="00B54122"/>
    <w:rsid w:val="00B6443F"/>
    <w:rsid w:val="00B6624A"/>
    <w:rsid w:val="00B73705"/>
    <w:rsid w:val="00B8275B"/>
    <w:rsid w:val="00BA081C"/>
    <w:rsid w:val="00BA5FA3"/>
    <w:rsid w:val="00BB3212"/>
    <w:rsid w:val="00BC0659"/>
    <w:rsid w:val="00BC1137"/>
    <w:rsid w:val="00BC586B"/>
    <w:rsid w:val="00C004B5"/>
    <w:rsid w:val="00C250A2"/>
    <w:rsid w:val="00C26675"/>
    <w:rsid w:val="00C27EF9"/>
    <w:rsid w:val="00C47BF7"/>
    <w:rsid w:val="00C64007"/>
    <w:rsid w:val="00C709A4"/>
    <w:rsid w:val="00C81EE8"/>
    <w:rsid w:val="00CA5FC7"/>
    <w:rsid w:val="00CF49D6"/>
    <w:rsid w:val="00CF556B"/>
    <w:rsid w:val="00CF5C91"/>
    <w:rsid w:val="00D0248E"/>
    <w:rsid w:val="00D10642"/>
    <w:rsid w:val="00D128D3"/>
    <w:rsid w:val="00D30CB2"/>
    <w:rsid w:val="00D3445A"/>
    <w:rsid w:val="00D35935"/>
    <w:rsid w:val="00D36FF4"/>
    <w:rsid w:val="00D73705"/>
    <w:rsid w:val="00D815BE"/>
    <w:rsid w:val="00DA3858"/>
    <w:rsid w:val="00DA681F"/>
    <w:rsid w:val="00DC12A1"/>
    <w:rsid w:val="00E02EA8"/>
    <w:rsid w:val="00E31C75"/>
    <w:rsid w:val="00E362C0"/>
    <w:rsid w:val="00E4033D"/>
    <w:rsid w:val="00E45F49"/>
    <w:rsid w:val="00E46CF9"/>
    <w:rsid w:val="00E705FF"/>
    <w:rsid w:val="00E94BA6"/>
    <w:rsid w:val="00EC5FC4"/>
    <w:rsid w:val="00EF2E5A"/>
    <w:rsid w:val="00F0544E"/>
    <w:rsid w:val="00F2705E"/>
    <w:rsid w:val="00F33152"/>
    <w:rsid w:val="00F37EA9"/>
    <w:rsid w:val="00F62109"/>
    <w:rsid w:val="00F6425F"/>
    <w:rsid w:val="00F92EB6"/>
    <w:rsid w:val="00FB6159"/>
    <w:rsid w:val="00FD1D63"/>
    <w:rsid w:val="00FF66D6"/>
    <w:rsid w:val="00FF6EF6"/>
    <w:rsid w:val="01991F8D"/>
    <w:rsid w:val="01DD05A8"/>
    <w:rsid w:val="01F93449"/>
    <w:rsid w:val="02082DF7"/>
    <w:rsid w:val="022D6332"/>
    <w:rsid w:val="02691592"/>
    <w:rsid w:val="02FC8E47"/>
    <w:rsid w:val="031DB5A9"/>
    <w:rsid w:val="032FE406"/>
    <w:rsid w:val="0344E81B"/>
    <w:rsid w:val="0379C8E2"/>
    <w:rsid w:val="037EB7A0"/>
    <w:rsid w:val="038019BE"/>
    <w:rsid w:val="03B7A8D0"/>
    <w:rsid w:val="03D73156"/>
    <w:rsid w:val="04481F7D"/>
    <w:rsid w:val="052C6E98"/>
    <w:rsid w:val="05B105D8"/>
    <w:rsid w:val="066BDB3D"/>
    <w:rsid w:val="06FAF79F"/>
    <w:rsid w:val="07BB14AE"/>
    <w:rsid w:val="07C21ED4"/>
    <w:rsid w:val="0818B49F"/>
    <w:rsid w:val="086A2230"/>
    <w:rsid w:val="0879894D"/>
    <w:rsid w:val="0882C5CB"/>
    <w:rsid w:val="0898DD7C"/>
    <w:rsid w:val="092A533E"/>
    <w:rsid w:val="09491C54"/>
    <w:rsid w:val="0A2F104E"/>
    <w:rsid w:val="0A5736D7"/>
    <w:rsid w:val="0A74073D"/>
    <w:rsid w:val="0B2A7B5F"/>
    <w:rsid w:val="0B32C900"/>
    <w:rsid w:val="0B7340F5"/>
    <w:rsid w:val="0BF149D3"/>
    <w:rsid w:val="0C0E08AD"/>
    <w:rsid w:val="0C386C4E"/>
    <w:rsid w:val="0C57AA35"/>
    <w:rsid w:val="0D32E346"/>
    <w:rsid w:val="0D83630C"/>
    <w:rsid w:val="0D9110A7"/>
    <w:rsid w:val="0E150593"/>
    <w:rsid w:val="0E248CDC"/>
    <w:rsid w:val="0E52193D"/>
    <w:rsid w:val="0E74B100"/>
    <w:rsid w:val="0E8C36E2"/>
    <w:rsid w:val="0E9DA1F3"/>
    <w:rsid w:val="0EE84A1B"/>
    <w:rsid w:val="0F591254"/>
    <w:rsid w:val="0F91B94A"/>
    <w:rsid w:val="0FCB6DB6"/>
    <w:rsid w:val="1003ADBB"/>
    <w:rsid w:val="10CCD14F"/>
    <w:rsid w:val="10F43FBC"/>
    <w:rsid w:val="1190779A"/>
    <w:rsid w:val="11AE15DE"/>
    <w:rsid w:val="11D03B82"/>
    <w:rsid w:val="12C51032"/>
    <w:rsid w:val="12D3A5B5"/>
    <w:rsid w:val="12EB170D"/>
    <w:rsid w:val="14CF96FA"/>
    <w:rsid w:val="15610CBC"/>
    <w:rsid w:val="15A0CB9E"/>
    <w:rsid w:val="15B27A4D"/>
    <w:rsid w:val="161A4904"/>
    <w:rsid w:val="16394002"/>
    <w:rsid w:val="16917471"/>
    <w:rsid w:val="1762ED0A"/>
    <w:rsid w:val="1774CF21"/>
    <w:rsid w:val="17E6C392"/>
    <w:rsid w:val="18010F4F"/>
    <w:rsid w:val="184623DA"/>
    <w:rsid w:val="18A48CA8"/>
    <w:rsid w:val="18B5A396"/>
    <w:rsid w:val="19168119"/>
    <w:rsid w:val="19A4E07E"/>
    <w:rsid w:val="1A2D6ACA"/>
    <w:rsid w:val="1A51DD67"/>
    <w:rsid w:val="1B31A342"/>
    <w:rsid w:val="1B9A715A"/>
    <w:rsid w:val="1C551247"/>
    <w:rsid w:val="1CC7FB34"/>
    <w:rsid w:val="1CC9B1CD"/>
    <w:rsid w:val="1CCB8013"/>
    <w:rsid w:val="1CFFB9D6"/>
    <w:rsid w:val="1D172511"/>
    <w:rsid w:val="1D9D7369"/>
    <w:rsid w:val="1E2AE747"/>
    <w:rsid w:val="1E2D22D9"/>
    <w:rsid w:val="1E4759F5"/>
    <w:rsid w:val="1E648EB9"/>
    <w:rsid w:val="1F308D0C"/>
    <w:rsid w:val="1F7FD7C0"/>
    <w:rsid w:val="1FE9B61B"/>
    <w:rsid w:val="200B5CBC"/>
    <w:rsid w:val="2038CE38"/>
    <w:rsid w:val="20490F85"/>
    <w:rsid w:val="20792AC9"/>
    <w:rsid w:val="20C79522"/>
    <w:rsid w:val="21697C9F"/>
    <w:rsid w:val="2217EF17"/>
    <w:rsid w:val="22FAD26A"/>
    <w:rsid w:val="23224DF3"/>
    <w:rsid w:val="2326099A"/>
    <w:rsid w:val="232CF9F0"/>
    <w:rsid w:val="23C1A050"/>
    <w:rsid w:val="242E4AC6"/>
    <w:rsid w:val="2548372E"/>
    <w:rsid w:val="259B7734"/>
    <w:rsid w:val="25D6CFE4"/>
    <w:rsid w:val="26058860"/>
    <w:rsid w:val="265ED936"/>
    <w:rsid w:val="2691486B"/>
    <w:rsid w:val="26D0CDA7"/>
    <w:rsid w:val="27058AF1"/>
    <w:rsid w:val="277714AD"/>
    <w:rsid w:val="279A3584"/>
    <w:rsid w:val="2885A64A"/>
    <w:rsid w:val="28E2C977"/>
    <w:rsid w:val="29635E88"/>
    <w:rsid w:val="29BDF144"/>
    <w:rsid w:val="2AA29261"/>
    <w:rsid w:val="2AC9F85E"/>
    <w:rsid w:val="2AE5CB86"/>
    <w:rsid w:val="2B604D6A"/>
    <w:rsid w:val="2B60AACD"/>
    <w:rsid w:val="2B6ACAA6"/>
    <w:rsid w:val="2BBC3837"/>
    <w:rsid w:val="2BCE05FC"/>
    <w:rsid w:val="2C0F0D71"/>
    <w:rsid w:val="2C48BF7E"/>
    <w:rsid w:val="2C7C6945"/>
    <w:rsid w:val="2C9B325B"/>
    <w:rsid w:val="2CBD4350"/>
    <w:rsid w:val="2CEF08E2"/>
    <w:rsid w:val="2D6988F6"/>
    <w:rsid w:val="2D7365A1"/>
    <w:rsid w:val="2D8FF196"/>
    <w:rsid w:val="2D94A4BC"/>
    <w:rsid w:val="2DC81F38"/>
    <w:rsid w:val="2DE06B54"/>
    <w:rsid w:val="2E459E51"/>
    <w:rsid w:val="2FE6972F"/>
    <w:rsid w:val="3071E5D3"/>
    <w:rsid w:val="3084F94D"/>
    <w:rsid w:val="310C150C"/>
    <w:rsid w:val="31740999"/>
    <w:rsid w:val="3176A2E3"/>
    <w:rsid w:val="31A42F44"/>
    <w:rsid w:val="32A258B5"/>
    <w:rsid w:val="32BC6ABB"/>
    <w:rsid w:val="33AFBEC6"/>
    <w:rsid w:val="353DCF12"/>
    <w:rsid w:val="35CDFE67"/>
    <w:rsid w:val="37B0F06B"/>
    <w:rsid w:val="37B4BA04"/>
    <w:rsid w:val="3807AABE"/>
    <w:rsid w:val="3821AD01"/>
    <w:rsid w:val="3862B77B"/>
    <w:rsid w:val="38A59D33"/>
    <w:rsid w:val="38D80A2F"/>
    <w:rsid w:val="38D9C8DA"/>
    <w:rsid w:val="38E90A2D"/>
    <w:rsid w:val="38F24979"/>
    <w:rsid w:val="39049054"/>
    <w:rsid w:val="3939E878"/>
    <w:rsid w:val="3A1CCBCB"/>
    <w:rsid w:val="3A75007D"/>
    <w:rsid w:val="3AACAE0C"/>
    <w:rsid w:val="3B38D999"/>
    <w:rsid w:val="3BA5351E"/>
    <w:rsid w:val="3BD4B0EC"/>
    <w:rsid w:val="3C17298F"/>
    <w:rsid w:val="3C2E1BD5"/>
    <w:rsid w:val="3CA0BC0C"/>
    <w:rsid w:val="3DE3B756"/>
    <w:rsid w:val="3E4AFB77"/>
    <w:rsid w:val="3E51A619"/>
    <w:rsid w:val="3EEC8761"/>
    <w:rsid w:val="3F606B0D"/>
    <w:rsid w:val="3F9AB1AC"/>
    <w:rsid w:val="40E2F42A"/>
    <w:rsid w:val="40EF8970"/>
    <w:rsid w:val="41324CB2"/>
    <w:rsid w:val="413D0DD2"/>
    <w:rsid w:val="41748890"/>
    <w:rsid w:val="41D563B1"/>
    <w:rsid w:val="4210AEA2"/>
    <w:rsid w:val="42A49D86"/>
    <w:rsid w:val="4419C0B7"/>
    <w:rsid w:val="445484B8"/>
    <w:rsid w:val="44864F50"/>
    <w:rsid w:val="451D5DBB"/>
    <w:rsid w:val="456A051E"/>
    <w:rsid w:val="45CC1832"/>
    <w:rsid w:val="45D1C472"/>
    <w:rsid w:val="46479B9C"/>
    <w:rsid w:val="464CE871"/>
    <w:rsid w:val="4701A024"/>
    <w:rsid w:val="4713B657"/>
    <w:rsid w:val="473BF8BD"/>
    <w:rsid w:val="476597C9"/>
    <w:rsid w:val="478060CD"/>
    <w:rsid w:val="47C55389"/>
    <w:rsid w:val="47EDF55E"/>
    <w:rsid w:val="488131B6"/>
    <w:rsid w:val="48A10E68"/>
    <w:rsid w:val="490CA748"/>
    <w:rsid w:val="490CEF4A"/>
    <w:rsid w:val="499F2EA0"/>
    <w:rsid w:val="49E18C45"/>
    <w:rsid w:val="4A4DE80D"/>
    <w:rsid w:val="4A5B089A"/>
    <w:rsid w:val="4B395890"/>
    <w:rsid w:val="4BD7BC51"/>
    <w:rsid w:val="4E17D900"/>
    <w:rsid w:val="4E361B3B"/>
    <w:rsid w:val="4E37E18D"/>
    <w:rsid w:val="4E508528"/>
    <w:rsid w:val="4E7AA4CF"/>
    <w:rsid w:val="4EB26371"/>
    <w:rsid w:val="4EB4FD68"/>
    <w:rsid w:val="4EBCE0AD"/>
    <w:rsid w:val="4F218C01"/>
    <w:rsid w:val="4F26F1D9"/>
    <w:rsid w:val="4FED4862"/>
    <w:rsid w:val="50BB9EFD"/>
    <w:rsid w:val="50C84DE7"/>
    <w:rsid w:val="52421F1C"/>
    <w:rsid w:val="52734986"/>
    <w:rsid w:val="52AA79F6"/>
    <w:rsid w:val="52DF5ABD"/>
    <w:rsid w:val="531C6E67"/>
    <w:rsid w:val="532F01FC"/>
    <w:rsid w:val="533EBA58"/>
    <w:rsid w:val="53468E0E"/>
    <w:rsid w:val="53ADB158"/>
    <w:rsid w:val="53D70F54"/>
    <w:rsid w:val="53ED8335"/>
    <w:rsid w:val="53F57462"/>
    <w:rsid w:val="545C0E74"/>
    <w:rsid w:val="545D1E68"/>
    <w:rsid w:val="54872819"/>
    <w:rsid w:val="54B931A1"/>
    <w:rsid w:val="54C61FA0"/>
    <w:rsid w:val="55825535"/>
    <w:rsid w:val="568AF26F"/>
    <w:rsid w:val="5701D4CD"/>
    <w:rsid w:val="57361265"/>
    <w:rsid w:val="573C0A9C"/>
    <w:rsid w:val="57637704"/>
    <w:rsid w:val="57766335"/>
    <w:rsid w:val="57A32DE6"/>
    <w:rsid w:val="57E19D2C"/>
    <w:rsid w:val="57E35B20"/>
    <w:rsid w:val="57F928BD"/>
    <w:rsid w:val="5A856CDB"/>
    <w:rsid w:val="5B12B2A3"/>
    <w:rsid w:val="5B5FC17C"/>
    <w:rsid w:val="5B6E790D"/>
    <w:rsid w:val="5B73C308"/>
    <w:rsid w:val="5BDC65BB"/>
    <w:rsid w:val="5C2A2036"/>
    <w:rsid w:val="5C56A65B"/>
    <w:rsid w:val="5D35A07F"/>
    <w:rsid w:val="5DA7621F"/>
    <w:rsid w:val="5DEE9C7C"/>
    <w:rsid w:val="5E48EE09"/>
    <w:rsid w:val="5E4B1143"/>
    <w:rsid w:val="5E4DDBF6"/>
    <w:rsid w:val="5E7302CD"/>
    <w:rsid w:val="5F693F96"/>
    <w:rsid w:val="5F97D634"/>
    <w:rsid w:val="5FDDCDFE"/>
    <w:rsid w:val="5FF2D213"/>
    <w:rsid w:val="606F2C38"/>
    <w:rsid w:val="6091AE7A"/>
    <w:rsid w:val="61B2D919"/>
    <w:rsid w:val="61DAAA7D"/>
    <w:rsid w:val="623E9D68"/>
    <w:rsid w:val="627CC9B8"/>
    <w:rsid w:val="62CFE059"/>
    <w:rsid w:val="63E0C6BD"/>
    <w:rsid w:val="65180C28"/>
    <w:rsid w:val="654D644C"/>
    <w:rsid w:val="6585F9C0"/>
    <w:rsid w:val="65A4936F"/>
    <w:rsid w:val="65D83D36"/>
    <w:rsid w:val="662403CE"/>
    <w:rsid w:val="66AF47BF"/>
    <w:rsid w:val="66C029E0"/>
    <w:rsid w:val="66CF3992"/>
    <w:rsid w:val="66ECF491"/>
    <w:rsid w:val="675FE3FC"/>
    <w:rsid w:val="67A37996"/>
    <w:rsid w:val="68851C21"/>
    <w:rsid w:val="68B437E0"/>
    <w:rsid w:val="690E32E4"/>
    <w:rsid w:val="69134DF2"/>
    <w:rsid w:val="69C6EABF"/>
    <w:rsid w:val="69D4569C"/>
    <w:rsid w:val="69E0CD3E"/>
    <w:rsid w:val="6A65CC5E"/>
    <w:rsid w:val="6A7DE228"/>
    <w:rsid w:val="6AB0403C"/>
    <w:rsid w:val="6AD276D4"/>
    <w:rsid w:val="6B89CF79"/>
    <w:rsid w:val="6B914626"/>
    <w:rsid w:val="6BA0E463"/>
    <w:rsid w:val="6BBAA422"/>
    <w:rsid w:val="6BBCD47A"/>
    <w:rsid w:val="6BC0C2A2"/>
    <w:rsid w:val="6C3FA342"/>
    <w:rsid w:val="6C5F57A7"/>
    <w:rsid w:val="6CA9B46E"/>
    <w:rsid w:val="6CB197B3"/>
    <w:rsid w:val="6D65B732"/>
    <w:rsid w:val="6D7D2058"/>
    <w:rsid w:val="6E568DD0"/>
    <w:rsid w:val="6E86249C"/>
    <w:rsid w:val="6E8B6E97"/>
    <w:rsid w:val="6E961EE7"/>
    <w:rsid w:val="6FA98D48"/>
    <w:rsid w:val="707A16BF"/>
    <w:rsid w:val="709F30FC"/>
    <w:rsid w:val="7146BE6F"/>
    <w:rsid w:val="717D80F2"/>
    <w:rsid w:val="7209DB64"/>
    <w:rsid w:val="720EF6B4"/>
    <w:rsid w:val="723719DD"/>
    <w:rsid w:val="72606445"/>
    <w:rsid w:val="727907E0"/>
    <w:rsid w:val="72A2330B"/>
    <w:rsid w:val="72E36878"/>
    <w:rsid w:val="737C7213"/>
    <w:rsid w:val="740DB504"/>
    <w:rsid w:val="75E78BE8"/>
    <w:rsid w:val="75FC8FFD"/>
    <w:rsid w:val="76072E53"/>
    <w:rsid w:val="7609C72C"/>
    <w:rsid w:val="763A7EFC"/>
    <w:rsid w:val="76DADFF3"/>
    <w:rsid w:val="7729255B"/>
    <w:rsid w:val="780B47A8"/>
    <w:rsid w:val="795BE60C"/>
    <w:rsid w:val="79ADA3CE"/>
    <w:rsid w:val="79B53706"/>
    <w:rsid w:val="7A4B5D61"/>
    <w:rsid w:val="7A5A8C2B"/>
    <w:rsid w:val="7A80E856"/>
    <w:rsid w:val="7AD05C81"/>
    <w:rsid w:val="7AF543ED"/>
    <w:rsid w:val="7AFD5A03"/>
    <w:rsid w:val="7B080A53"/>
    <w:rsid w:val="7B453573"/>
    <w:rsid w:val="7B6B0EF6"/>
    <w:rsid w:val="7BE1FB20"/>
    <w:rsid w:val="7C8534E0"/>
    <w:rsid w:val="7CEC022B"/>
    <w:rsid w:val="7CF6B27B"/>
    <w:rsid w:val="7D257D84"/>
    <w:rsid w:val="7D3DD219"/>
    <w:rsid w:val="7D7594A8"/>
    <w:rsid w:val="7D8E85A3"/>
    <w:rsid w:val="7DE78919"/>
    <w:rsid w:val="7EC7D28B"/>
    <w:rsid w:val="7ED164F4"/>
    <w:rsid w:val="7F090B95"/>
    <w:rsid w:val="7FC3B765"/>
    <w:rsid w:val="7FFD9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C02C3"/>
  <w15:chartTrackingRefBased/>
  <w15:docId w15:val="{3E8B4B0F-258D-47CF-8564-C239D3E8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3A8"/>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next w:val="Normal"/>
    <w:link w:val="Heading1Char"/>
    <w:uiPriority w:val="9"/>
    <w:qFormat/>
    <w:rsid w:val="00790CB6"/>
    <w:pPr>
      <w:keepNext/>
      <w:keepLines/>
      <w:widowControl/>
      <w:autoSpaceDE/>
      <w:autoSpaceDN/>
      <w:spacing w:before="480" w:line="276" w:lineRule="auto"/>
      <w:outlineLvl w:val="0"/>
    </w:pPr>
    <w:rPr>
      <w:rFonts w:asciiTheme="majorHAnsi" w:eastAsiaTheme="majorEastAsia" w:hAnsiTheme="majorHAnsi" w:cstheme="majorBidi"/>
      <w:b/>
      <w:bCs/>
      <w:color w:val="2F5496"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E23A8"/>
    <w:rPr>
      <w:sz w:val="24"/>
      <w:szCs w:val="24"/>
    </w:rPr>
  </w:style>
  <w:style w:type="character" w:customStyle="1" w:styleId="BodyTextChar">
    <w:name w:val="Body Text Char"/>
    <w:basedOn w:val="DefaultParagraphFont"/>
    <w:link w:val="BodyText"/>
    <w:uiPriority w:val="1"/>
    <w:rsid w:val="007E23A8"/>
    <w:rPr>
      <w:rFonts w:ascii="Calibri" w:eastAsia="Calibri" w:hAnsi="Calibri" w:cs="Calibri"/>
      <w:sz w:val="24"/>
      <w:szCs w:val="24"/>
      <w:lang w:val="en-US"/>
    </w:rPr>
  </w:style>
  <w:style w:type="character" w:styleId="Hyperlink">
    <w:name w:val="Hyperlink"/>
    <w:uiPriority w:val="99"/>
    <w:unhideWhenUsed/>
    <w:rsid w:val="007E23A8"/>
    <w:rPr>
      <w:color w:val="0000FF"/>
      <w:u w:val="single"/>
    </w:rPr>
  </w:style>
  <w:style w:type="paragraph" w:styleId="ListNumber">
    <w:name w:val="List Number"/>
    <w:basedOn w:val="Normal"/>
    <w:semiHidden/>
    <w:unhideWhenUsed/>
    <w:rsid w:val="007E23A8"/>
    <w:pPr>
      <w:widowControl/>
      <w:numPr>
        <w:numId w:val="1"/>
      </w:numPr>
      <w:autoSpaceDE/>
      <w:autoSpaceDN/>
      <w:spacing w:before="240"/>
      <w:ind w:left="187" w:hanging="187"/>
    </w:pPr>
    <w:rPr>
      <w:rFonts w:ascii="Times New Roman" w:eastAsia="Times New Roman" w:hAnsi="Times New Roman" w:cs="Times New Roman"/>
      <w:sz w:val="24"/>
      <w:szCs w:val="24"/>
    </w:rPr>
  </w:style>
  <w:style w:type="table" w:styleId="TableGrid">
    <w:name w:val="Table Grid"/>
    <w:basedOn w:val="TableNormal"/>
    <w:rsid w:val="00D81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basedOn w:val="DefaultParagraphFont"/>
    <w:uiPriority w:val="99"/>
    <w:semiHidden/>
    <w:unhideWhenUsed/>
    <w:rsid w:val="00B6624A"/>
    <w:rPr>
      <w:rFonts w:ascii="Courier New" w:eastAsia="Times New Roman" w:hAnsi="Courier New" w:cs="Courier New"/>
      <w:sz w:val="20"/>
      <w:szCs w:val="20"/>
    </w:rPr>
  </w:style>
  <w:style w:type="paragraph" w:styleId="NormalWeb">
    <w:name w:val="Normal (Web)"/>
    <w:basedOn w:val="Normal"/>
    <w:uiPriority w:val="99"/>
    <w:semiHidden/>
    <w:unhideWhenUsed/>
    <w:rsid w:val="00A72A35"/>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A72A35"/>
    <w:pPr>
      <w:widowControl/>
      <w:autoSpaceDE/>
      <w:autoSpaceDN/>
      <w:spacing w:after="160" w:line="256" w:lineRule="auto"/>
      <w:ind w:left="720"/>
      <w:contextualSpacing/>
    </w:pPr>
    <w:rPr>
      <w:rFonts w:asciiTheme="minorHAnsi" w:eastAsiaTheme="minorHAnsi" w:hAnsiTheme="minorHAnsi" w:cstheme="minorBidi"/>
      <w:lang w:val="en-GB"/>
    </w:rPr>
  </w:style>
  <w:style w:type="character" w:customStyle="1" w:styleId="Heading1Char">
    <w:name w:val="Heading 1 Char"/>
    <w:basedOn w:val="DefaultParagraphFont"/>
    <w:link w:val="Heading1"/>
    <w:uiPriority w:val="9"/>
    <w:rsid w:val="00790CB6"/>
    <w:rPr>
      <w:rFonts w:asciiTheme="majorHAnsi" w:eastAsiaTheme="majorEastAsia" w:hAnsiTheme="majorHAnsi" w:cstheme="majorBidi"/>
      <w:b/>
      <w:bCs/>
      <w:color w:val="2F5496" w:themeColor="accent1" w:themeShade="BF"/>
      <w:sz w:val="28"/>
      <w:szCs w:val="28"/>
    </w:rPr>
  </w:style>
  <w:style w:type="paragraph" w:styleId="BalloonText">
    <w:name w:val="Balloon Text"/>
    <w:basedOn w:val="Normal"/>
    <w:link w:val="BalloonTextChar"/>
    <w:semiHidden/>
    <w:rsid w:val="00790CB6"/>
    <w:pPr>
      <w:widowControl/>
      <w:autoSpaceDE/>
      <w:autoSpaceDN/>
      <w:spacing w:after="180"/>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790CB6"/>
    <w:rPr>
      <w:rFonts w:ascii="Tahoma" w:eastAsia="Times New Roman" w:hAnsi="Tahoma" w:cs="Tahoma"/>
      <w:sz w:val="16"/>
      <w:szCs w:val="16"/>
    </w:rPr>
  </w:style>
  <w:style w:type="character" w:styleId="CommentReference">
    <w:name w:val="annotation reference"/>
    <w:uiPriority w:val="99"/>
    <w:semiHidden/>
    <w:rsid w:val="00790CB6"/>
    <w:rPr>
      <w:sz w:val="16"/>
      <w:szCs w:val="16"/>
    </w:rPr>
  </w:style>
  <w:style w:type="paragraph" w:styleId="CommentText">
    <w:name w:val="annotation text"/>
    <w:basedOn w:val="Normal"/>
    <w:link w:val="CommentTextChar"/>
    <w:semiHidden/>
    <w:rsid w:val="00790CB6"/>
    <w:pPr>
      <w:widowControl/>
      <w:autoSpaceDE/>
      <w:autoSpaceDN/>
      <w:spacing w:after="180"/>
    </w:pPr>
    <w:rPr>
      <w:rFonts w:ascii="Verdana" w:eastAsia="Times New Roman" w:hAnsi="Verdana" w:cs="Times New Roman"/>
      <w:sz w:val="20"/>
      <w:szCs w:val="20"/>
      <w:lang w:val="en-GB"/>
    </w:rPr>
  </w:style>
  <w:style w:type="character" w:customStyle="1" w:styleId="CommentTextChar">
    <w:name w:val="Comment Text Char"/>
    <w:basedOn w:val="DefaultParagraphFont"/>
    <w:link w:val="CommentText"/>
    <w:semiHidden/>
    <w:rsid w:val="00790CB6"/>
    <w:rPr>
      <w:rFonts w:ascii="Verdana" w:eastAsia="Times New Roman" w:hAnsi="Verdana" w:cs="Times New Roman"/>
      <w:sz w:val="20"/>
      <w:szCs w:val="20"/>
    </w:rPr>
  </w:style>
  <w:style w:type="paragraph" w:styleId="CommentSubject">
    <w:name w:val="annotation subject"/>
    <w:basedOn w:val="CommentText"/>
    <w:next w:val="CommentText"/>
    <w:link w:val="CommentSubjectChar"/>
    <w:semiHidden/>
    <w:rsid w:val="00790CB6"/>
    <w:rPr>
      <w:b/>
      <w:bCs/>
    </w:rPr>
  </w:style>
  <w:style w:type="character" w:customStyle="1" w:styleId="CommentSubjectChar">
    <w:name w:val="Comment Subject Char"/>
    <w:basedOn w:val="CommentTextChar"/>
    <w:link w:val="CommentSubject"/>
    <w:semiHidden/>
    <w:rsid w:val="00790CB6"/>
    <w:rPr>
      <w:rFonts w:ascii="Verdana" w:eastAsia="Times New Roman" w:hAnsi="Verdana" w:cs="Times New Roman"/>
      <w:b/>
      <w:bCs/>
      <w:sz w:val="20"/>
      <w:szCs w:val="20"/>
    </w:rPr>
  </w:style>
  <w:style w:type="character" w:customStyle="1" w:styleId="apple-converted-space">
    <w:name w:val="apple-converted-space"/>
    <w:basedOn w:val="DefaultParagraphFont"/>
    <w:rsid w:val="00790CB6"/>
  </w:style>
  <w:style w:type="paragraph" w:styleId="Header">
    <w:name w:val="header"/>
    <w:basedOn w:val="Normal"/>
    <w:link w:val="HeaderChar"/>
    <w:unhideWhenUsed/>
    <w:rsid w:val="00790CB6"/>
    <w:pPr>
      <w:widowControl/>
      <w:tabs>
        <w:tab w:val="center" w:pos="4513"/>
        <w:tab w:val="right" w:pos="9026"/>
      </w:tabs>
      <w:autoSpaceDE/>
      <w:autoSpaceDN/>
    </w:pPr>
    <w:rPr>
      <w:rFonts w:ascii="Verdana" w:eastAsia="Times New Roman" w:hAnsi="Verdana" w:cs="Times New Roman"/>
      <w:sz w:val="20"/>
      <w:szCs w:val="20"/>
      <w:lang w:val="en-GB"/>
    </w:rPr>
  </w:style>
  <w:style w:type="character" w:customStyle="1" w:styleId="HeaderChar">
    <w:name w:val="Header Char"/>
    <w:basedOn w:val="DefaultParagraphFont"/>
    <w:link w:val="Header"/>
    <w:rsid w:val="00790CB6"/>
    <w:rPr>
      <w:rFonts w:ascii="Verdana" w:eastAsia="Times New Roman" w:hAnsi="Verdana" w:cs="Times New Roman"/>
      <w:sz w:val="20"/>
      <w:szCs w:val="20"/>
    </w:rPr>
  </w:style>
  <w:style w:type="paragraph" w:styleId="Footer">
    <w:name w:val="footer"/>
    <w:basedOn w:val="Normal"/>
    <w:link w:val="FooterChar"/>
    <w:uiPriority w:val="99"/>
    <w:unhideWhenUsed/>
    <w:rsid w:val="00790CB6"/>
    <w:pPr>
      <w:widowControl/>
      <w:tabs>
        <w:tab w:val="center" w:pos="4513"/>
        <w:tab w:val="right" w:pos="9026"/>
      </w:tabs>
      <w:autoSpaceDE/>
      <w:autoSpaceDN/>
    </w:pPr>
    <w:rPr>
      <w:rFonts w:ascii="Verdana" w:eastAsia="Times New Roman" w:hAnsi="Verdana" w:cs="Times New Roman"/>
      <w:sz w:val="20"/>
      <w:szCs w:val="20"/>
      <w:lang w:val="en-GB"/>
    </w:rPr>
  </w:style>
  <w:style w:type="character" w:customStyle="1" w:styleId="FooterChar">
    <w:name w:val="Footer Char"/>
    <w:basedOn w:val="DefaultParagraphFont"/>
    <w:link w:val="Footer"/>
    <w:uiPriority w:val="99"/>
    <w:rsid w:val="00790CB6"/>
    <w:rPr>
      <w:rFonts w:ascii="Verdana" w:eastAsia="Times New Roman" w:hAnsi="Verdana" w:cs="Times New Roman"/>
      <w:sz w:val="20"/>
      <w:szCs w:val="20"/>
    </w:rPr>
  </w:style>
  <w:style w:type="paragraph" w:styleId="Revision">
    <w:name w:val="Revision"/>
    <w:hidden/>
    <w:uiPriority w:val="99"/>
    <w:semiHidden/>
    <w:rsid w:val="00790CB6"/>
    <w:pPr>
      <w:spacing w:after="0" w:line="240" w:lineRule="auto"/>
    </w:pPr>
    <w:rPr>
      <w:rFonts w:ascii="Verdana" w:eastAsia="Times New Roman" w:hAnsi="Verdana" w:cs="Times New Roman"/>
      <w:sz w:val="20"/>
      <w:szCs w:val="20"/>
    </w:rPr>
  </w:style>
  <w:style w:type="paragraph" w:styleId="FootnoteText">
    <w:name w:val="footnote text"/>
    <w:basedOn w:val="Normal"/>
    <w:link w:val="FootnoteTextChar"/>
    <w:semiHidden/>
    <w:unhideWhenUsed/>
    <w:rsid w:val="00790CB6"/>
    <w:pPr>
      <w:widowControl/>
      <w:autoSpaceDE/>
      <w:autoSpaceDN/>
    </w:pPr>
    <w:rPr>
      <w:rFonts w:ascii="Verdana" w:eastAsia="Times New Roman" w:hAnsi="Verdana" w:cs="Times New Roman"/>
      <w:sz w:val="20"/>
      <w:szCs w:val="20"/>
      <w:lang w:val="en-GB"/>
    </w:rPr>
  </w:style>
  <w:style w:type="character" w:customStyle="1" w:styleId="FootnoteTextChar">
    <w:name w:val="Footnote Text Char"/>
    <w:basedOn w:val="DefaultParagraphFont"/>
    <w:link w:val="FootnoteText"/>
    <w:semiHidden/>
    <w:rsid w:val="00790CB6"/>
    <w:rPr>
      <w:rFonts w:ascii="Verdana" w:eastAsia="Times New Roman" w:hAnsi="Verdana" w:cs="Times New Roman"/>
      <w:sz w:val="20"/>
      <w:szCs w:val="20"/>
    </w:rPr>
  </w:style>
  <w:style w:type="character" w:styleId="FootnoteReference">
    <w:name w:val="footnote reference"/>
    <w:basedOn w:val="DefaultParagraphFont"/>
    <w:semiHidden/>
    <w:unhideWhenUsed/>
    <w:rsid w:val="00790CB6"/>
    <w:rPr>
      <w:vertAlign w:val="superscript"/>
    </w:rPr>
  </w:style>
  <w:style w:type="paragraph" w:customStyle="1" w:styleId="Default">
    <w:name w:val="Default"/>
    <w:rsid w:val="00D0248E"/>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AE335A"/>
    <w:pPr>
      <w:ind w:left="107"/>
    </w:pPr>
  </w:style>
  <w:style w:type="character" w:styleId="UnresolvedMention">
    <w:name w:val="Unresolved Mention"/>
    <w:basedOn w:val="DefaultParagraphFont"/>
    <w:uiPriority w:val="99"/>
    <w:semiHidden/>
    <w:unhideWhenUsed/>
    <w:rsid w:val="00D34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36133">
      <w:bodyDiv w:val="1"/>
      <w:marLeft w:val="0"/>
      <w:marRight w:val="0"/>
      <w:marTop w:val="0"/>
      <w:marBottom w:val="0"/>
      <w:divBdr>
        <w:top w:val="none" w:sz="0" w:space="0" w:color="auto"/>
        <w:left w:val="none" w:sz="0" w:space="0" w:color="auto"/>
        <w:bottom w:val="none" w:sz="0" w:space="0" w:color="auto"/>
        <w:right w:val="none" w:sz="0" w:space="0" w:color="auto"/>
      </w:divBdr>
    </w:div>
    <w:div w:id="694765768">
      <w:bodyDiv w:val="1"/>
      <w:marLeft w:val="0"/>
      <w:marRight w:val="0"/>
      <w:marTop w:val="0"/>
      <w:marBottom w:val="0"/>
      <w:divBdr>
        <w:top w:val="none" w:sz="0" w:space="0" w:color="auto"/>
        <w:left w:val="none" w:sz="0" w:space="0" w:color="auto"/>
        <w:bottom w:val="none" w:sz="0" w:space="0" w:color="auto"/>
        <w:right w:val="none" w:sz="0" w:space="0" w:color="auto"/>
      </w:divBdr>
    </w:div>
    <w:div w:id="697315118">
      <w:bodyDiv w:val="1"/>
      <w:marLeft w:val="0"/>
      <w:marRight w:val="0"/>
      <w:marTop w:val="0"/>
      <w:marBottom w:val="0"/>
      <w:divBdr>
        <w:top w:val="none" w:sz="0" w:space="0" w:color="auto"/>
        <w:left w:val="none" w:sz="0" w:space="0" w:color="auto"/>
        <w:bottom w:val="none" w:sz="0" w:space="0" w:color="auto"/>
        <w:right w:val="none" w:sz="0" w:space="0" w:color="auto"/>
      </w:divBdr>
    </w:div>
    <w:div w:id="763841206">
      <w:bodyDiv w:val="1"/>
      <w:marLeft w:val="0"/>
      <w:marRight w:val="0"/>
      <w:marTop w:val="0"/>
      <w:marBottom w:val="0"/>
      <w:divBdr>
        <w:top w:val="none" w:sz="0" w:space="0" w:color="auto"/>
        <w:left w:val="none" w:sz="0" w:space="0" w:color="auto"/>
        <w:bottom w:val="none" w:sz="0" w:space="0" w:color="auto"/>
        <w:right w:val="none" w:sz="0" w:space="0" w:color="auto"/>
      </w:divBdr>
    </w:div>
    <w:div w:id="1245459414">
      <w:bodyDiv w:val="1"/>
      <w:marLeft w:val="0"/>
      <w:marRight w:val="0"/>
      <w:marTop w:val="0"/>
      <w:marBottom w:val="0"/>
      <w:divBdr>
        <w:top w:val="none" w:sz="0" w:space="0" w:color="auto"/>
        <w:left w:val="none" w:sz="0" w:space="0" w:color="auto"/>
        <w:bottom w:val="none" w:sz="0" w:space="0" w:color="auto"/>
        <w:right w:val="none" w:sz="0" w:space="0" w:color="auto"/>
      </w:divBdr>
    </w:div>
    <w:div w:id="1984043650">
      <w:bodyDiv w:val="1"/>
      <w:marLeft w:val="0"/>
      <w:marRight w:val="0"/>
      <w:marTop w:val="0"/>
      <w:marBottom w:val="0"/>
      <w:divBdr>
        <w:top w:val="none" w:sz="0" w:space="0" w:color="auto"/>
        <w:left w:val="none" w:sz="0" w:space="0" w:color="auto"/>
        <w:bottom w:val="none" w:sz="0" w:space="0" w:color="auto"/>
        <w:right w:val="none" w:sz="0" w:space="0" w:color="auto"/>
      </w:divBdr>
    </w:div>
    <w:div w:id="207357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onlpc.org/about-us/your-lpc/transforming-pharmacy-representation-tapr-programme/)%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vonlpc.org/about-us/your-lpc/transforming-pharmacy-representation-tapr-programme/" TargetMode="External"/><Relationship Id="rId12" Type="http://schemas.openxmlformats.org/officeDocument/2006/relationships/hyperlink" Target="https://devonlpc.org/about-us/your-lpc/transforming-pharmacy-representation-tapr-program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vonlpc.org/about-us/your-lpc/transforming-pharmacy-representation-tapr-programme/" TargetMode="External"/><Relationship Id="rId5" Type="http://schemas.openxmlformats.org/officeDocument/2006/relationships/footnotes" Target="footnotes.xml"/><Relationship Id="rId10" Type="http://schemas.openxmlformats.org/officeDocument/2006/relationships/hyperlink" Target="https://devonlpc.org/about-us/your-lpc/transforming-pharmacy-representation-tapr-programme/)" TargetMode="External"/><Relationship Id="rId4" Type="http://schemas.openxmlformats.org/officeDocument/2006/relationships/webSettings" Target="webSettings.xml"/><Relationship Id="rId9" Type="http://schemas.openxmlformats.org/officeDocument/2006/relationships/hyperlink" Target="https://devonlpc.org/about-us/your-lpc/transforming-pharmacy-representation-tapr-program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Wood</dc:creator>
  <cp:keywords/>
  <dc:description/>
  <cp:lastModifiedBy>Kathryn Jones</cp:lastModifiedBy>
  <cp:revision>3</cp:revision>
  <dcterms:created xsi:type="dcterms:W3CDTF">2023-02-02T10:48:00Z</dcterms:created>
  <dcterms:modified xsi:type="dcterms:W3CDTF">2023-02-03T10:46:00Z</dcterms:modified>
</cp:coreProperties>
</file>