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403A" w14:textId="20178391" w:rsidR="003A1ED7" w:rsidRPr="00FE56CA" w:rsidRDefault="00FE56CA" w:rsidP="00FE56CA">
      <w:pPr>
        <w:pStyle w:val="Heading1"/>
        <w:rPr>
          <w:b/>
          <w:bCs/>
        </w:rPr>
      </w:pPr>
      <w:r w:rsidRPr="00FE56CA">
        <w:rPr>
          <w:b/>
          <w:bCs/>
        </w:rPr>
        <w:t>Note Taking Handout</w:t>
      </w:r>
    </w:p>
    <w:p w14:paraId="6B72AEAE" w14:textId="77777777" w:rsidR="00FE56CA" w:rsidRDefault="00FE56CA" w:rsidP="00FE56CA">
      <w:pPr>
        <w:pStyle w:val="Heading2"/>
      </w:pPr>
    </w:p>
    <w:p w14:paraId="617993C8" w14:textId="40287739" w:rsidR="00FE56CA" w:rsidRPr="003F48A6" w:rsidRDefault="00FE56CA" w:rsidP="00FE56CA">
      <w:pPr>
        <w:pStyle w:val="Heading2"/>
        <w:rPr>
          <w:b/>
          <w:bCs/>
        </w:rPr>
      </w:pPr>
      <w:r w:rsidRPr="003F48A6">
        <w:rPr>
          <w:b/>
          <w:bCs/>
        </w:rPr>
        <w:t>Background</w:t>
      </w:r>
    </w:p>
    <w:p w14:paraId="0DA61DFC" w14:textId="26AB024C" w:rsidR="00FE56CA" w:rsidRDefault="00FE56CA" w:rsidP="00FE56CA">
      <w:r>
        <w:t>Taking comprehensive clinical notes provides:</w:t>
      </w:r>
    </w:p>
    <w:p w14:paraId="0F08172E" w14:textId="77777777" w:rsidR="00FE56CA" w:rsidRPr="00FE56CA" w:rsidRDefault="00FE56CA" w:rsidP="00FE56CA">
      <w:pPr>
        <w:numPr>
          <w:ilvl w:val="0"/>
          <w:numId w:val="1"/>
        </w:numPr>
      </w:pPr>
      <w:r w:rsidRPr="00FE56CA">
        <w:t>Contemporary evidence of your clinical practice</w:t>
      </w:r>
    </w:p>
    <w:p w14:paraId="446DE699" w14:textId="6C9954A3" w:rsidR="00FE56CA" w:rsidRPr="00FE56CA" w:rsidRDefault="00FE56CA" w:rsidP="00FE56CA">
      <w:pPr>
        <w:numPr>
          <w:ilvl w:val="0"/>
          <w:numId w:val="1"/>
        </w:numPr>
      </w:pPr>
      <w:r w:rsidRPr="00FE56CA">
        <w:t>Demonstrat</w:t>
      </w:r>
      <w:r>
        <w:t>ion of</w:t>
      </w:r>
      <w:r w:rsidRPr="00FE56CA">
        <w:t xml:space="preserve"> adherence to Pharmacy First PGDs and nationally commissioned pathways</w:t>
      </w:r>
    </w:p>
    <w:p w14:paraId="47345FD6" w14:textId="6DD11EF2" w:rsidR="00FE56CA" w:rsidRDefault="00FE56CA" w:rsidP="00FE56CA">
      <w:pPr>
        <w:numPr>
          <w:ilvl w:val="0"/>
          <w:numId w:val="1"/>
        </w:numPr>
      </w:pPr>
      <w:r w:rsidRPr="00FE56CA">
        <w:t>Clear handover to other providers (and</w:t>
      </w:r>
      <w:r>
        <w:t xml:space="preserve"> the</w:t>
      </w:r>
      <w:r w:rsidRPr="00FE56CA">
        <w:t xml:space="preserve"> patient!)</w:t>
      </w:r>
    </w:p>
    <w:p w14:paraId="1BA1BBB6" w14:textId="77777777" w:rsidR="00FE56CA" w:rsidRPr="00FE56CA" w:rsidRDefault="00FE56CA" w:rsidP="00FE56CA">
      <w:pPr>
        <w:ind w:left="720"/>
      </w:pPr>
    </w:p>
    <w:p w14:paraId="6B70E60D" w14:textId="4B613C92" w:rsidR="00FE56CA" w:rsidRDefault="00FE56CA" w:rsidP="00FE56CA">
      <w:r>
        <w:t>Notes should be contemporaneous and written at the same time as a clinical encounter takes place. As part of their GP Premises inspections, the CQC</w:t>
      </w:r>
      <w:r w:rsidR="003F48A6">
        <w:rPr>
          <w:rStyle w:val="EndnoteReference"/>
        </w:rPr>
        <w:t>1</w:t>
      </w:r>
      <w:r>
        <w:t xml:space="preserve"> review a sample of clinical notes to ensure:</w:t>
      </w:r>
    </w:p>
    <w:p w14:paraId="2821B54D" w14:textId="5C89EA74" w:rsidR="00FE56CA" w:rsidRDefault="00FE56CA" w:rsidP="00FE56CA">
      <w:pPr>
        <w:numPr>
          <w:ilvl w:val="0"/>
          <w:numId w:val="1"/>
        </w:numPr>
      </w:pPr>
      <w:r>
        <w:t xml:space="preserve">Notes are contemporaneous and demonstrate that staff are working within their </w:t>
      </w:r>
      <w:proofErr w:type="gramStart"/>
      <w:r>
        <w:t>competencies</w:t>
      </w:r>
      <w:proofErr w:type="gramEnd"/>
    </w:p>
    <w:p w14:paraId="30351DEC" w14:textId="0339A981" w:rsidR="00FE56CA" w:rsidRDefault="00FE56CA" w:rsidP="00FE56CA">
      <w:pPr>
        <w:numPr>
          <w:ilvl w:val="0"/>
          <w:numId w:val="1"/>
        </w:numPr>
      </w:pPr>
      <w:r>
        <w:t xml:space="preserve">Records contain enough information (this includes documentation of clinical findings, investigations requested, management plans, safety netting, </w:t>
      </w:r>
      <w:proofErr w:type="gramStart"/>
      <w:r>
        <w:t>referrals</w:t>
      </w:r>
      <w:proofErr w:type="gramEnd"/>
      <w:r>
        <w:t xml:space="preserve"> and follow-up)</w:t>
      </w:r>
    </w:p>
    <w:p w14:paraId="3F8F479E" w14:textId="52E05356" w:rsidR="00FE56CA" w:rsidRDefault="00FE56CA" w:rsidP="00FE56CA">
      <w:pPr>
        <w:numPr>
          <w:ilvl w:val="0"/>
          <w:numId w:val="1"/>
        </w:numPr>
      </w:pPr>
      <w:r>
        <w:t xml:space="preserve">Medicines are appropriately prescribed and </w:t>
      </w:r>
      <w:proofErr w:type="gramStart"/>
      <w:r>
        <w:t>monitored</w:t>
      </w:r>
      <w:proofErr w:type="gramEnd"/>
    </w:p>
    <w:p w14:paraId="5266E6ED" w14:textId="77777777" w:rsidR="003F48A6" w:rsidRDefault="003F48A6" w:rsidP="003F48A6">
      <w:pPr>
        <w:ind w:left="720"/>
      </w:pPr>
    </w:p>
    <w:p w14:paraId="3E35E307" w14:textId="41A014AA" w:rsidR="00FE56CA" w:rsidRDefault="00FE56CA" w:rsidP="00FE56CA">
      <w:r>
        <w:t xml:space="preserve">Following the rise of GP-practice based </w:t>
      </w:r>
      <w:proofErr w:type="gramStart"/>
      <w:r>
        <w:t>pharmacists</w:t>
      </w:r>
      <w:proofErr w:type="gramEnd"/>
      <w:r>
        <w:t xml:space="preserve"> prescribers in PCNs and online pharmacies, the PDA gave the following advice regarding high risk scenarios to their members:</w:t>
      </w:r>
    </w:p>
    <w:p w14:paraId="6B0F32A4" w14:textId="29CF961F" w:rsidR="00FE56CA" w:rsidRPr="00FE56CA" w:rsidRDefault="00FE56CA" w:rsidP="00FE56CA">
      <w:pPr>
        <w:rPr>
          <w:i/>
          <w:iCs/>
        </w:rPr>
      </w:pPr>
      <w:r>
        <w:rPr>
          <w:i/>
          <w:iCs/>
        </w:rPr>
        <w:t>“</w:t>
      </w:r>
      <w:r w:rsidRPr="00FE56CA">
        <w:rPr>
          <w:i/>
          <w:iCs/>
        </w:rPr>
        <w:t>The following are high-risk scenarios:</w:t>
      </w:r>
    </w:p>
    <w:p w14:paraId="4116B16B" w14:textId="2245DC27" w:rsidR="00FE56CA" w:rsidRPr="00FE56CA" w:rsidRDefault="00FE56CA" w:rsidP="00FE56CA">
      <w:pPr>
        <w:pStyle w:val="ListParagraph"/>
        <w:numPr>
          <w:ilvl w:val="0"/>
          <w:numId w:val="3"/>
        </w:numPr>
        <w:rPr>
          <w:i/>
          <w:iCs/>
        </w:rPr>
      </w:pPr>
      <w:r w:rsidRPr="00FE56CA">
        <w:rPr>
          <w:i/>
          <w:iCs/>
        </w:rPr>
        <w:t xml:space="preserve">Undertaking prescribing or providing clinical advice for patients who are not physically </w:t>
      </w:r>
      <w:proofErr w:type="gramStart"/>
      <w:r w:rsidRPr="00FE56CA">
        <w:rPr>
          <w:i/>
          <w:iCs/>
        </w:rPr>
        <w:t>present</w:t>
      </w:r>
      <w:proofErr w:type="gramEnd"/>
    </w:p>
    <w:p w14:paraId="1EA128D2" w14:textId="009164D4" w:rsidR="00FE56CA" w:rsidRPr="00FE56CA" w:rsidRDefault="00FE56CA" w:rsidP="00FE56CA">
      <w:pPr>
        <w:pStyle w:val="ListParagraph"/>
        <w:numPr>
          <w:ilvl w:val="0"/>
          <w:numId w:val="3"/>
        </w:numPr>
        <w:rPr>
          <w:i/>
          <w:iCs/>
        </w:rPr>
      </w:pPr>
      <w:r w:rsidRPr="00FE56CA">
        <w:rPr>
          <w:i/>
          <w:iCs/>
        </w:rPr>
        <w:t>Undertaking prescribing for patients without reference to their clinical records</w:t>
      </w:r>
    </w:p>
    <w:p w14:paraId="27A7B6B0" w14:textId="6083C702" w:rsidR="00FE56CA" w:rsidRPr="00FE56CA" w:rsidRDefault="00FE56CA" w:rsidP="00FE56CA">
      <w:pPr>
        <w:pStyle w:val="ListParagraph"/>
        <w:numPr>
          <w:ilvl w:val="0"/>
          <w:numId w:val="3"/>
        </w:numPr>
        <w:rPr>
          <w:i/>
          <w:iCs/>
        </w:rPr>
      </w:pPr>
      <w:r w:rsidRPr="00FE56CA">
        <w:rPr>
          <w:i/>
          <w:iCs/>
        </w:rPr>
        <w:t xml:space="preserve">Undertaking prescribing for walk-in patients where a diagnosis may be </w:t>
      </w:r>
      <w:proofErr w:type="gramStart"/>
      <w:r w:rsidRPr="00FE56CA">
        <w:rPr>
          <w:i/>
          <w:iCs/>
        </w:rPr>
        <w:t>required</w:t>
      </w:r>
      <w:proofErr w:type="gramEnd"/>
    </w:p>
    <w:p w14:paraId="4BE0C2B7" w14:textId="36183E43" w:rsidR="00FE56CA" w:rsidRPr="003F48A6" w:rsidRDefault="00FE56CA" w:rsidP="00FE56CA">
      <w:pPr>
        <w:pStyle w:val="ListParagraph"/>
        <w:numPr>
          <w:ilvl w:val="0"/>
          <w:numId w:val="3"/>
        </w:numPr>
        <w:rPr>
          <w:i/>
          <w:iCs/>
        </w:rPr>
      </w:pPr>
      <w:r w:rsidRPr="00FE56CA">
        <w:rPr>
          <w:i/>
          <w:iCs/>
        </w:rPr>
        <w:t>Prescribing alternative medicines due to shortages (particularly where the medicine to be replaced is a member of a high-risk group such as opiates and/or you are unfamiliar with the use of your chosen replacement). We would suggest checking with a GP or a colleague with relevant specialist experience and ensuring any online or print reference sources that are relied upon are both appropriate for the scenario in which you are prescribing and that you keep a note of those you relied upon.</w:t>
      </w:r>
      <w:r>
        <w:rPr>
          <w:i/>
          <w:iCs/>
        </w:rPr>
        <w:t>”</w:t>
      </w:r>
      <w:r w:rsidR="005E721A">
        <w:rPr>
          <w:i/>
          <w:iCs/>
        </w:rPr>
        <w:t xml:space="preserve"> </w:t>
      </w:r>
      <w:proofErr w:type="gramStart"/>
      <w:r w:rsidR="003F48A6">
        <w:rPr>
          <w:vertAlign w:val="superscript"/>
        </w:rPr>
        <w:t>2</w:t>
      </w:r>
      <w:proofErr w:type="gramEnd"/>
    </w:p>
    <w:p w14:paraId="71484F5E" w14:textId="77777777" w:rsidR="003F48A6" w:rsidRDefault="003F48A6" w:rsidP="003F48A6">
      <w:pPr>
        <w:pStyle w:val="ListParagraph"/>
        <w:rPr>
          <w:i/>
          <w:iCs/>
        </w:rPr>
      </w:pPr>
    </w:p>
    <w:p w14:paraId="6B7919B6" w14:textId="3D10B9BF" w:rsidR="00FE56CA" w:rsidRPr="003F48A6" w:rsidRDefault="005E721A" w:rsidP="005E721A">
      <w:pPr>
        <w:rPr>
          <w:vertAlign w:val="superscript"/>
        </w:rPr>
      </w:pPr>
      <w:r>
        <w:t>Regarding liability in clinical negligence cases, “</w:t>
      </w:r>
      <w:r w:rsidRPr="005E721A">
        <w:t xml:space="preserve">The default position in clinical negligence claims is often that if something is not recorded in the records, then it did not occur. This may mean that something has been missed in a patient’s care. Should everything be recorded, then the treating clinicians are fully aware of the patient’s condition, medications, </w:t>
      </w:r>
      <w:proofErr w:type="gramStart"/>
      <w:r w:rsidRPr="005E721A">
        <w:t>treatments</w:t>
      </w:r>
      <w:proofErr w:type="gramEnd"/>
      <w:r w:rsidRPr="005E721A">
        <w:t xml:space="preserve"> and investigations and then are then able to make an informed decision on the care plan going forward. Therefore, contemporaneous records also have ability to narrow down any contentious issues and provide a defence.”</w:t>
      </w:r>
      <w:proofErr w:type="gramStart"/>
      <w:r w:rsidR="003F48A6">
        <w:rPr>
          <w:vertAlign w:val="superscript"/>
        </w:rPr>
        <w:t>3</w:t>
      </w:r>
      <w:proofErr w:type="gramEnd"/>
    </w:p>
    <w:p w14:paraId="686CEA1B" w14:textId="1A58A16C" w:rsidR="005E721A" w:rsidRPr="003F48A6" w:rsidRDefault="005E721A" w:rsidP="005E721A">
      <w:pPr>
        <w:rPr>
          <w:vertAlign w:val="superscript"/>
        </w:rPr>
      </w:pPr>
      <w:r>
        <w:lastRenderedPageBreak/>
        <w:t xml:space="preserve">There are </w:t>
      </w:r>
      <w:proofErr w:type="gramStart"/>
      <w:r>
        <w:t>a number of</w:t>
      </w:r>
      <w:proofErr w:type="gramEnd"/>
      <w:r>
        <w:t xml:space="preserve"> test cases which have underpinned the way in which the legal system has reviewed clinical negligence cases and the standards for clinicians regarding the decisions they make. </w:t>
      </w:r>
      <w:r w:rsidRPr="005E721A">
        <w:t>Bolam v Friern Hospital Management Committee</w:t>
      </w:r>
      <w:r>
        <w:t xml:space="preserve"> (1957) and </w:t>
      </w:r>
      <w:r w:rsidRPr="005E721A">
        <w:t>Bolitho v City and Hackney Health Authority</w:t>
      </w:r>
      <w:r>
        <w:t xml:space="preserve"> (1998) were predecessors to the </w:t>
      </w:r>
      <w:r w:rsidRPr="005E721A">
        <w:t>Montgomery v Lanarkshire Health Board</w:t>
      </w:r>
      <w:r>
        <w:t xml:space="preserve"> (2015) case.</w:t>
      </w:r>
      <w:r w:rsidR="003F48A6">
        <w:rPr>
          <w:vertAlign w:val="superscript"/>
        </w:rPr>
        <w:t>4</w:t>
      </w:r>
      <w:r w:rsidR="003F48A6">
        <w:t xml:space="preserve"> </w:t>
      </w:r>
      <w:r>
        <w:t>In the Montgomery case, the law on consent progressed from being clinician focussed to empowering patients to receive benefits and risks of any proposed treatments (along with the benefits and risks of any alternative treatments also), in order to make an informed decision. There have been further permutations of this in recent cases, to clarify that reasonable risks and benefits should be provided to patients (not exhaustive), but that the responsibility lies with the clinician to determine what ‘reasonable’ means.</w:t>
      </w:r>
      <w:r w:rsidR="003F48A6">
        <w:rPr>
          <w:vertAlign w:val="superscript"/>
        </w:rPr>
        <w:t>5</w:t>
      </w:r>
    </w:p>
    <w:p w14:paraId="4944D9BD" w14:textId="6B77E7F2" w:rsidR="005E721A" w:rsidRPr="003F48A6" w:rsidRDefault="005E721A" w:rsidP="005E721A">
      <w:pPr>
        <w:rPr>
          <w:vertAlign w:val="superscript"/>
        </w:rPr>
      </w:pPr>
      <w:r>
        <w:t>The words we record in clinical notes are powerful and our language is important. Our words can disempower patients by e.g. belittling (denies, complains), patronising (non-compliant) and blaming (poorly controlled, failure to thrive/progress)</w:t>
      </w:r>
      <w:proofErr w:type="gramStart"/>
      <w:r>
        <w:t>.</w:t>
      </w:r>
      <w:r w:rsidR="003F48A6">
        <w:rPr>
          <w:vertAlign w:val="superscript"/>
        </w:rPr>
        <w:t>6</w:t>
      </w:r>
      <w:proofErr w:type="gramEnd"/>
    </w:p>
    <w:p w14:paraId="0028C6E2" w14:textId="77777777" w:rsidR="005E721A" w:rsidRDefault="005E721A" w:rsidP="005E721A"/>
    <w:p w14:paraId="515E83C5" w14:textId="77777777" w:rsidR="003F48A6" w:rsidRDefault="003F48A6" w:rsidP="005E721A"/>
    <w:p w14:paraId="2C473148" w14:textId="77777777" w:rsidR="003F48A6" w:rsidRDefault="003F48A6" w:rsidP="005E721A"/>
    <w:p w14:paraId="52A12B43" w14:textId="77777777" w:rsidR="003F48A6" w:rsidRDefault="003F48A6" w:rsidP="005E721A"/>
    <w:p w14:paraId="4C5238B1" w14:textId="77777777" w:rsidR="003F48A6" w:rsidRDefault="003F48A6" w:rsidP="005E721A"/>
    <w:p w14:paraId="3760DBF1" w14:textId="77777777" w:rsidR="003F48A6" w:rsidRDefault="003F48A6" w:rsidP="005E721A"/>
    <w:p w14:paraId="21F9FFA0" w14:textId="77777777" w:rsidR="003F48A6" w:rsidRDefault="003F48A6" w:rsidP="005E721A"/>
    <w:p w14:paraId="290D6016" w14:textId="77777777" w:rsidR="003F48A6" w:rsidRDefault="003F48A6" w:rsidP="005E721A"/>
    <w:p w14:paraId="0CB869CB" w14:textId="77777777" w:rsidR="003F48A6" w:rsidRDefault="003F48A6" w:rsidP="005E721A"/>
    <w:p w14:paraId="5C2E6ED8" w14:textId="77777777" w:rsidR="003F48A6" w:rsidRDefault="003F48A6" w:rsidP="005E721A"/>
    <w:p w14:paraId="6ED5EC73" w14:textId="77777777" w:rsidR="003F48A6" w:rsidRDefault="003F48A6" w:rsidP="005E721A"/>
    <w:p w14:paraId="7864C97C" w14:textId="77777777" w:rsidR="003F48A6" w:rsidRDefault="003F48A6" w:rsidP="005E721A"/>
    <w:p w14:paraId="0D33DB69" w14:textId="77777777" w:rsidR="003F48A6" w:rsidRDefault="003F48A6" w:rsidP="005E721A"/>
    <w:p w14:paraId="4CE4D121" w14:textId="77777777" w:rsidR="003F48A6" w:rsidRDefault="003F48A6" w:rsidP="005E721A"/>
    <w:p w14:paraId="6329A534" w14:textId="77777777" w:rsidR="003F48A6" w:rsidRDefault="003F48A6" w:rsidP="003F48A6">
      <w:pPr>
        <w:pStyle w:val="EndnoteText"/>
      </w:pPr>
      <w:r>
        <w:rPr>
          <w:rStyle w:val="EndnoteReference"/>
        </w:rPr>
        <w:footnoteRef/>
      </w:r>
      <w:r>
        <w:t xml:space="preserve"> </w:t>
      </w:r>
      <w:r w:rsidRPr="00FE56CA">
        <w:t xml:space="preserve">GP </w:t>
      </w:r>
      <w:proofErr w:type="spellStart"/>
      <w:r w:rsidRPr="00FE56CA">
        <w:t>mythbuster</w:t>
      </w:r>
      <w:proofErr w:type="spellEnd"/>
      <w:r w:rsidRPr="00FE56CA">
        <w:t xml:space="preserve"> 12: Accessing medical records and carrying out clinical searches</w:t>
      </w:r>
      <w:r>
        <w:t xml:space="preserve">. </w:t>
      </w:r>
      <w:hyperlink r:id="rId8" w:history="1">
        <w:r w:rsidRPr="008D0DD2">
          <w:rPr>
            <w:rStyle w:val="Hyperlink"/>
          </w:rPr>
          <w:t>https://www.cqc.org.uk/guidance-providers/gps/gp-mythbusters/gp-mythbuster-12-accessing-medical-records-during-inspections</w:t>
        </w:r>
      </w:hyperlink>
      <w:r>
        <w:t xml:space="preserve"> </w:t>
      </w:r>
    </w:p>
    <w:p w14:paraId="4FB3AA56" w14:textId="2808C59F" w:rsidR="003F48A6" w:rsidRDefault="003F48A6" w:rsidP="003F48A6">
      <w:pPr>
        <w:pStyle w:val="EndnoteText"/>
      </w:pPr>
      <w:r>
        <w:rPr>
          <w:rStyle w:val="EndnoteReference"/>
        </w:rPr>
        <w:t>2</w:t>
      </w:r>
      <w:r>
        <w:t xml:space="preserve"> </w:t>
      </w:r>
      <w:r w:rsidRPr="00FE56CA">
        <w:t xml:space="preserve">PDA urgent guidance for all PDA members following </w:t>
      </w:r>
      <w:proofErr w:type="gramStart"/>
      <w:r w:rsidRPr="00FE56CA">
        <w:t>a number of</w:t>
      </w:r>
      <w:proofErr w:type="gramEnd"/>
      <w:r w:rsidRPr="00FE56CA">
        <w:t xml:space="preserve"> critical incidents involving GP practice-based pharmacists</w:t>
      </w:r>
      <w:r>
        <w:t xml:space="preserve"> </w:t>
      </w:r>
      <w:hyperlink r:id="rId9" w:history="1">
        <w:r w:rsidRPr="008D0DD2">
          <w:rPr>
            <w:rStyle w:val="Hyperlink"/>
          </w:rPr>
          <w:t>https://www.the-pda.org/urgent-guidance-on-critical-incidents/</w:t>
        </w:r>
      </w:hyperlink>
      <w:r>
        <w:t xml:space="preserve"> </w:t>
      </w:r>
    </w:p>
    <w:p w14:paraId="3A9A8C0B" w14:textId="0AE3ED7A" w:rsidR="003F48A6" w:rsidRDefault="003F48A6" w:rsidP="003F48A6">
      <w:pPr>
        <w:pStyle w:val="EndnoteText"/>
      </w:pPr>
      <w:r>
        <w:rPr>
          <w:rStyle w:val="EndnoteReference"/>
        </w:rPr>
        <w:t>3</w:t>
      </w:r>
      <w:r>
        <w:t xml:space="preserve"> </w:t>
      </w:r>
      <w:r w:rsidRPr="005E721A">
        <w:t>Importance of keeping contemporaneous medical notes</w:t>
      </w:r>
      <w:r>
        <w:t xml:space="preserve"> </w:t>
      </w:r>
      <w:hyperlink r:id="rId10" w:history="1">
        <w:r w:rsidRPr="008D0DD2">
          <w:rPr>
            <w:rStyle w:val="Hyperlink"/>
          </w:rPr>
          <w:t>https://www.true.co.uk/news/importance-of-keeping-contemporaneous-medical-notes/</w:t>
        </w:r>
      </w:hyperlink>
      <w:r>
        <w:t xml:space="preserve"> </w:t>
      </w:r>
    </w:p>
    <w:p w14:paraId="55FB63ED" w14:textId="368B118A" w:rsidR="003F48A6" w:rsidRDefault="003F48A6" w:rsidP="003F48A6">
      <w:pPr>
        <w:pStyle w:val="EndnoteText"/>
      </w:pPr>
      <w:r>
        <w:rPr>
          <w:rStyle w:val="EndnoteReference"/>
        </w:rPr>
        <w:t>4</w:t>
      </w:r>
      <w:r>
        <w:t xml:space="preserve"> </w:t>
      </w:r>
      <w:r w:rsidRPr="005E721A">
        <w:t xml:space="preserve">. Lee A. 'Bolam' to 'Montgomery' is result of evolutionary change of medical practice towards 'patient-centred care'. Postgrad Med J. 2017 Jan;93(1095):46-50. </w:t>
      </w:r>
      <w:proofErr w:type="spellStart"/>
      <w:r w:rsidRPr="005E721A">
        <w:t>doi</w:t>
      </w:r>
      <w:proofErr w:type="spellEnd"/>
      <w:r w:rsidRPr="005E721A">
        <w:t xml:space="preserve">: 10.1136/postgradmedj-2016-134236. </w:t>
      </w:r>
      <w:proofErr w:type="spellStart"/>
      <w:r w:rsidRPr="005E721A">
        <w:t>Epub</w:t>
      </w:r>
      <w:proofErr w:type="spellEnd"/>
      <w:r w:rsidRPr="005E721A">
        <w:t xml:space="preserve"> 2016 Jul 27</w:t>
      </w:r>
    </w:p>
    <w:p w14:paraId="28356473" w14:textId="1B58E677" w:rsidR="003F48A6" w:rsidRDefault="003F48A6" w:rsidP="003F48A6">
      <w:pPr>
        <w:pStyle w:val="EndnoteText"/>
      </w:pPr>
      <w:r>
        <w:rPr>
          <w:rStyle w:val="EndnoteReference"/>
        </w:rPr>
        <w:t>5</w:t>
      </w:r>
      <w:r>
        <w:t xml:space="preserve"> </w:t>
      </w:r>
      <w:r w:rsidRPr="005E721A">
        <w:t>Dyer C. UK Supreme Court restricts scope of Montgomery duty of care to</w:t>
      </w:r>
      <w:r>
        <w:t xml:space="preserve"> </w:t>
      </w:r>
      <w:r w:rsidRPr="005E721A">
        <w:t>patients</w:t>
      </w:r>
      <w:r>
        <w:t xml:space="preserve"> </w:t>
      </w:r>
      <w:r w:rsidRPr="005E721A">
        <w:rPr>
          <w:i/>
          <w:iCs/>
        </w:rPr>
        <w:t>BMJ</w:t>
      </w:r>
      <w:r>
        <w:rPr>
          <w:i/>
          <w:iCs/>
        </w:rPr>
        <w:t xml:space="preserve"> </w:t>
      </w:r>
      <w:r w:rsidRPr="005E721A">
        <w:t>2023;</w:t>
      </w:r>
      <w:r>
        <w:t xml:space="preserve"> </w:t>
      </w:r>
      <w:proofErr w:type="gramStart"/>
      <w:r w:rsidRPr="005E721A">
        <w:t>382</w:t>
      </w:r>
      <w:r>
        <w:t xml:space="preserve"> </w:t>
      </w:r>
      <w:r w:rsidRPr="005E721A">
        <w:t>:p</w:t>
      </w:r>
      <w:proofErr w:type="gramEnd"/>
      <w:r w:rsidRPr="005E721A">
        <w:t>1651</w:t>
      </w:r>
      <w:r>
        <w:t xml:space="preserve"> </w:t>
      </w:r>
      <w:r w:rsidRPr="005E721A">
        <w:t>doi:10.1136/bmj.p1651</w:t>
      </w:r>
      <w:r>
        <w:t xml:space="preserve"> </w:t>
      </w:r>
    </w:p>
    <w:p w14:paraId="601A53C2" w14:textId="7E19C620" w:rsidR="003F48A6" w:rsidRDefault="003F48A6" w:rsidP="003F48A6">
      <w:pPr>
        <w:pStyle w:val="EndnoteText"/>
        <w:sectPr w:rsidR="003F48A6" w:rsidSect="002D4E7C">
          <w:footerReference w:type="default" r:id="rId11"/>
          <w:pgSz w:w="11906" w:h="16838"/>
          <w:pgMar w:top="1440" w:right="1440" w:bottom="1440" w:left="1440" w:header="708" w:footer="708" w:gutter="0"/>
          <w:cols w:space="708"/>
          <w:docGrid w:linePitch="360"/>
        </w:sectPr>
      </w:pPr>
      <w:r>
        <w:rPr>
          <w:rStyle w:val="EndnoteReference"/>
        </w:rPr>
        <w:t>6</w:t>
      </w:r>
      <w:r>
        <w:t xml:space="preserve"> </w:t>
      </w:r>
      <w:r w:rsidRPr="003F48A6">
        <w:t>Cox C, Fritz Z. Presenting complaint: use of language that disempowers</w:t>
      </w:r>
      <w:r>
        <w:t xml:space="preserve"> </w:t>
      </w:r>
      <w:r w:rsidRPr="003F48A6">
        <w:t>patients</w:t>
      </w:r>
      <w:r>
        <w:t xml:space="preserve"> </w:t>
      </w:r>
      <w:r w:rsidRPr="003F48A6">
        <w:rPr>
          <w:i/>
          <w:iCs/>
        </w:rPr>
        <w:t>BMJ</w:t>
      </w:r>
      <w:r>
        <w:rPr>
          <w:i/>
          <w:iCs/>
        </w:rPr>
        <w:t xml:space="preserve"> </w:t>
      </w:r>
      <w:r w:rsidRPr="003F48A6">
        <w:t>2022;</w:t>
      </w:r>
      <w:r>
        <w:t xml:space="preserve"> </w:t>
      </w:r>
      <w:proofErr w:type="gramStart"/>
      <w:r w:rsidRPr="003F48A6">
        <w:t>377</w:t>
      </w:r>
      <w:r>
        <w:t xml:space="preserve"> </w:t>
      </w:r>
      <w:r w:rsidRPr="003F48A6">
        <w:t>:e</w:t>
      </w:r>
      <w:proofErr w:type="gramEnd"/>
      <w:r w:rsidRPr="003F48A6">
        <w:t>066720</w:t>
      </w:r>
      <w:r>
        <w:t xml:space="preserve"> </w:t>
      </w:r>
      <w:r w:rsidRPr="003F48A6">
        <w:t xml:space="preserve">doi:10.1136/bmj-2021-066720 </w:t>
      </w:r>
    </w:p>
    <w:p w14:paraId="4C59C25B" w14:textId="3FDC1AF4" w:rsidR="003F48A6" w:rsidRDefault="003F48A6" w:rsidP="003F48A6">
      <w:pPr>
        <w:pStyle w:val="Heading2"/>
        <w:rPr>
          <w:b/>
          <w:bCs/>
        </w:rPr>
      </w:pPr>
      <w:r w:rsidRPr="003F48A6">
        <w:rPr>
          <w:b/>
          <w:bCs/>
        </w:rPr>
        <w:lastRenderedPageBreak/>
        <w:t>Theory and Models</w:t>
      </w:r>
    </w:p>
    <w:p w14:paraId="58A38572" w14:textId="77777777" w:rsidR="003F48A6" w:rsidRDefault="003F48A6" w:rsidP="003F48A6"/>
    <w:p w14:paraId="7207DAAA" w14:textId="2A9CE6F9" w:rsidR="003F48A6" w:rsidRDefault="003F48A6" w:rsidP="003F48A6">
      <w:r>
        <w:t>Theories of how we interact in consultations and models we can follow inform our behaviour, how we structure consultations and how we make notes. There are many theories out there which I have not covered, but generally theories exist upon two spectra:</w:t>
      </w:r>
    </w:p>
    <w:p w14:paraId="5027F456" w14:textId="3CABF8D7" w:rsidR="003F48A6" w:rsidRDefault="003F48A6" w:rsidP="003F48A6">
      <w:r>
        <w:t xml:space="preserve">Patient centred </w:t>
      </w:r>
      <w:r>
        <w:rPr>
          <w:rFonts w:cstheme="minorHAnsi"/>
        </w:rPr>
        <w:t>↔</w:t>
      </w:r>
      <w:r>
        <w:t xml:space="preserve"> Clinician Centred</w:t>
      </w:r>
    </w:p>
    <w:p w14:paraId="3834CC46" w14:textId="6E5D7FB7" w:rsidR="003F48A6" w:rsidRDefault="003F48A6" w:rsidP="003F48A6">
      <w:pPr>
        <w:rPr>
          <w:rFonts w:cstheme="minorHAnsi"/>
        </w:rPr>
      </w:pPr>
      <w:r>
        <w:t xml:space="preserve">Behaviour Orientated </w:t>
      </w:r>
      <w:r>
        <w:rPr>
          <w:rFonts w:cstheme="minorHAnsi"/>
        </w:rPr>
        <w:t xml:space="preserve">↔ Task Orientated </w:t>
      </w:r>
    </w:p>
    <w:p w14:paraId="662FB3BC" w14:textId="1C346581" w:rsidR="003F48A6" w:rsidRDefault="003F48A6" w:rsidP="003F48A6">
      <w:pPr>
        <w:rPr>
          <w:rFonts w:cstheme="minorHAnsi"/>
        </w:rPr>
      </w:pPr>
      <w:r>
        <w:rPr>
          <w:rFonts w:cstheme="minorHAnsi"/>
        </w:rPr>
        <w:t xml:space="preserve">Models </w:t>
      </w:r>
      <w:r w:rsidR="00035FCD">
        <w:rPr>
          <w:rFonts w:cstheme="minorHAnsi"/>
        </w:rPr>
        <w:t xml:space="preserve">and concepts </w:t>
      </w:r>
      <w:r>
        <w:rPr>
          <w:rFonts w:cstheme="minorHAnsi"/>
        </w:rPr>
        <w:t>we discussed this evening include:</w:t>
      </w:r>
    </w:p>
    <w:p w14:paraId="7DE90FBF" w14:textId="0303F63F" w:rsidR="003F48A6" w:rsidRDefault="003F48A6" w:rsidP="003F48A6">
      <w:pPr>
        <w:pStyle w:val="ListParagraph"/>
        <w:numPr>
          <w:ilvl w:val="0"/>
          <w:numId w:val="4"/>
        </w:numPr>
      </w:pPr>
      <w:r>
        <w:t>Roger Neighbour (1987)</w:t>
      </w:r>
    </w:p>
    <w:p w14:paraId="11AACAC8" w14:textId="73861DA1" w:rsidR="003F48A6" w:rsidRDefault="003F48A6" w:rsidP="003F48A6">
      <w:pPr>
        <w:pStyle w:val="ListParagraph"/>
        <w:numPr>
          <w:ilvl w:val="0"/>
          <w:numId w:val="4"/>
        </w:numPr>
      </w:pPr>
      <w:r>
        <w:t>‘Crossing the Bridge’</w:t>
      </w:r>
    </w:p>
    <w:p w14:paraId="552AFC45" w14:textId="4818D199" w:rsidR="003F48A6" w:rsidRDefault="00035FCD" w:rsidP="003F48A6">
      <w:pPr>
        <w:pStyle w:val="ListParagraph"/>
        <w:numPr>
          <w:ilvl w:val="0"/>
          <w:numId w:val="4"/>
        </w:numPr>
      </w:pPr>
      <w:r>
        <w:t>Byrne and Long (1976)</w:t>
      </w:r>
    </w:p>
    <w:p w14:paraId="24555A90" w14:textId="497CE784" w:rsidR="00035FCD" w:rsidRDefault="00035FCD" w:rsidP="003F48A6">
      <w:pPr>
        <w:pStyle w:val="ListParagraph"/>
        <w:numPr>
          <w:ilvl w:val="0"/>
          <w:numId w:val="4"/>
        </w:numPr>
      </w:pPr>
      <w:r>
        <w:t>Health Belief Model (1975)</w:t>
      </w:r>
    </w:p>
    <w:p w14:paraId="251C7FCD" w14:textId="14CC9EC6" w:rsidR="00035FCD" w:rsidRDefault="00035FCD" w:rsidP="00035FCD">
      <w:pPr>
        <w:pStyle w:val="ListParagraph"/>
        <w:numPr>
          <w:ilvl w:val="0"/>
          <w:numId w:val="4"/>
        </w:numPr>
      </w:pPr>
      <w:r>
        <w:t>Calgary Cambridge Model (1996)</w:t>
      </w:r>
    </w:p>
    <w:p w14:paraId="65F46C86" w14:textId="418E3825" w:rsidR="00035FCD" w:rsidRDefault="00035FCD" w:rsidP="00035FCD">
      <w:r>
        <w:t xml:space="preserve">There is a great summary of each of these and more in this free handout </w:t>
      </w:r>
      <w:hyperlink r:id="rId12" w:history="1">
        <w:r w:rsidRPr="008D0DD2">
          <w:rPr>
            <w:rStyle w:val="Hyperlink"/>
          </w:rPr>
          <w:t>https://www.essentialgptrainingbook.com/wp-content/online-resources/04%20consultation%20models.pdf</w:t>
        </w:r>
      </w:hyperlink>
      <w:r>
        <w:t xml:space="preserve"> </w:t>
      </w:r>
    </w:p>
    <w:p w14:paraId="7F9BA8EC" w14:textId="0C555279" w:rsidR="00035FCD" w:rsidRDefault="00035FCD" w:rsidP="00035FCD">
      <w:r>
        <w:t>The Calgary Cambridge model is the one most widely used to support new prescribers in structuring their consultations:</w:t>
      </w:r>
    </w:p>
    <w:p w14:paraId="6145B037" w14:textId="1C53552C" w:rsidR="00035FCD" w:rsidRDefault="00035FCD" w:rsidP="00035FCD">
      <w:r w:rsidRPr="00035FCD">
        <w:rPr>
          <w:noProof/>
        </w:rPr>
        <w:drawing>
          <wp:inline distT="0" distB="0" distL="0" distR="0" wp14:anchorId="43F7402B" wp14:editId="0DDC1E4B">
            <wp:extent cx="5379085" cy="4115066"/>
            <wp:effectExtent l="0" t="0" r="0" b="0"/>
            <wp:docPr id="3074" name="Picture 2" descr="A diagram of a medical procedure&#10;&#10;Description automatically generated with medium confidence">
              <a:extLst xmlns:a="http://schemas.openxmlformats.org/drawingml/2006/main">
                <a:ext uri="{FF2B5EF4-FFF2-40B4-BE49-F238E27FC236}">
                  <a16:creationId xmlns:a16="http://schemas.microsoft.com/office/drawing/2014/main" id="{60F18B37-3BFA-CE0C-7CCD-15DA583F7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A diagram of a medical procedure&#10;&#10;Description automatically generated with medium confidence">
                      <a:extLst>
                        <a:ext uri="{FF2B5EF4-FFF2-40B4-BE49-F238E27FC236}">
                          <a16:creationId xmlns:a16="http://schemas.microsoft.com/office/drawing/2014/main" id="{60F18B37-3BFA-CE0C-7CCD-15DA583F7025}"/>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84948" cy="4119551"/>
                    </a:xfrm>
                    <a:prstGeom prst="rect">
                      <a:avLst/>
                    </a:prstGeom>
                    <a:noFill/>
                  </pic:spPr>
                </pic:pic>
              </a:graphicData>
            </a:graphic>
          </wp:inline>
        </w:drawing>
      </w:r>
    </w:p>
    <w:p w14:paraId="2353243D" w14:textId="77777777" w:rsidR="00035FCD" w:rsidRDefault="00035FCD" w:rsidP="00035FCD">
      <w:pPr>
        <w:sectPr w:rsidR="00035FCD" w:rsidSect="002D4E7C">
          <w:pgSz w:w="11906" w:h="16838"/>
          <w:pgMar w:top="1440" w:right="1440" w:bottom="1440" w:left="1440" w:header="708" w:footer="708" w:gutter="0"/>
          <w:cols w:space="708"/>
          <w:docGrid w:linePitch="360"/>
        </w:sectPr>
      </w:pPr>
      <w:r>
        <w:t xml:space="preserve">Available from: </w:t>
      </w:r>
      <w:hyperlink r:id="rId14" w:history="1">
        <w:r w:rsidRPr="008D0DD2">
          <w:rPr>
            <w:rStyle w:val="Hyperlink"/>
          </w:rPr>
          <w:t>https://www.bradfordvts.co.uk/communication-skills/teach-communication-skills/calgary-cambridge/</w:t>
        </w:r>
      </w:hyperlink>
    </w:p>
    <w:p w14:paraId="0C500374" w14:textId="3CBF8695" w:rsidR="00035FCD" w:rsidRPr="00035FCD" w:rsidRDefault="00035FCD" w:rsidP="00035FCD">
      <w:pPr>
        <w:pStyle w:val="Heading2"/>
        <w:rPr>
          <w:b/>
          <w:bCs/>
        </w:rPr>
      </w:pPr>
      <w:r w:rsidRPr="00035FCD">
        <w:rPr>
          <w:b/>
          <w:bCs/>
        </w:rPr>
        <w:lastRenderedPageBreak/>
        <w:t xml:space="preserve">Note Taking Walkthrough </w:t>
      </w:r>
    </w:p>
    <w:p w14:paraId="76283560" w14:textId="34388563" w:rsidR="00035FCD" w:rsidRPr="00035FCD" w:rsidRDefault="00035FCD" w:rsidP="00035FCD"/>
    <w:p w14:paraId="73423F58" w14:textId="101BF95E" w:rsidR="00035FCD" w:rsidRDefault="00035FCD" w:rsidP="00035FCD">
      <w:r>
        <w:rPr>
          <w:noProof/>
        </w:rPr>
        <w:drawing>
          <wp:anchor distT="0" distB="0" distL="114300" distR="114300" simplePos="0" relativeHeight="251658240" behindDoc="1" locked="0" layoutInCell="1" allowOverlap="1" wp14:anchorId="189562EF" wp14:editId="0597B295">
            <wp:simplePos x="0" y="0"/>
            <wp:positionH relativeFrom="margin">
              <wp:align>right</wp:align>
            </wp:positionH>
            <wp:positionV relativeFrom="paragraph">
              <wp:posOffset>459105</wp:posOffset>
            </wp:positionV>
            <wp:extent cx="8863330" cy="4391660"/>
            <wp:effectExtent l="0" t="0" r="0" b="8890"/>
            <wp:wrapTight wrapText="bothSides">
              <wp:wrapPolygon edited="0">
                <wp:start x="0" y="0"/>
                <wp:lineTo x="0" y="21550"/>
                <wp:lineTo x="21541" y="21550"/>
                <wp:lineTo x="21541" y="0"/>
                <wp:lineTo x="0" y="0"/>
              </wp:wrapPolygon>
            </wp:wrapTight>
            <wp:docPr id="3715102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10257" name="Picture 1"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863330" cy="4391660"/>
                    </a:xfrm>
                    <a:prstGeom prst="rect">
                      <a:avLst/>
                    </a:prstGeom>
                  </pic:spPr>
                </pic:pic>
              </a:graphicData>
            </a:graphic>
          </wp:anchor>
        </w:drawing>
      </w:r>
      <w:r>
        <w:t>A summary of a suggested way to structure your notes is as follows:</w:t>
      </w:r>
    </w:p>
    <w:p w14:paraId="01F44CA1" w14:textId="77777777" w:rsidR="00035FCD" w:rsidRDefault="00035FCD" w:rsidP="00035FCD"/>
    <w:p w14:paraId="31AD1AE7" w14:textId="77777777" w:rsidR="00035FCD" w:rsidRDefault="00035FCD" w:rsidP="00035FCD">
      <w:pPr>
        <w:jc w:val="right"/>
        <w:sectPr w:rsidR="00035FCD" w:rsidSect="002D4E7C">
          <w:pgSz w:w="16838" w:h="11906" w:orient="landscape"/>
          <w:pgMar w:top="1440" w:right="1440" w:bottom="1440" w:left="1440" w:header="708" w:footer="708" w:gutter="0"/>
          <w:cols w:space="708"/>
          <w:docGrid w:linePitch="360"/>
        </w:sectPr>
      </w:pPr>
    </w:p>
    <w:p w14:paraId="161D58D5" w14:textId="5EF6FBB3" w:rsidR="00035FCD" w:rsidRDefault="00035FCD" w:rsidP="00035FCD">
      <w:r>
        <w:lastRenderedPageBreak/>
        <w:t>Before starting with our history, we want to clerk attendance details. Aspects of this may be pre-recorded/embedded for you depending on what clinical/PMR system you are using or service template. Record:</w:t>
      </w:r>
    </w:p>
    <w:p w14:paraId="3943BBD4" w14:textId="1DC038DC" w:rsidR="00035FCD" w:rsidRDefault="00035FCD" w:rsidP="00035FCD">
      <w:pPr>
        <w:pStyle w:val="ListParagraph"/>
        <w:numPr>
          <w:ilvl w:val="0"/>
          <w:numId w:val="4"/>
        </w:numPr>
      </w:pPr>
      <w:r>
        <w:t>Date, Time, Service, Setting</w:t>
      </w:r>
    </w:p>
    <w:p w14:paraId="512DBCA5" w14:textId="468330FC" w:rsidR="00035FCD" w:rsidRDefault="00035FCD" w:rsidP="00035FCD">
      <w:pPr>
        <w:pStyle w:val="ListParagraph"/>
        <w:numPr>
          <w:ilvl w:val="0"/>
          <w:numId w:val="4"/>
        </w:numPr>
      </w:pPr>
      <w:r>
        <w:t>Alone or with chaperone</w:t>
      </w:r>
    </w:p>
    <w:p w14:paraId="0823564B" w14:textId="6258ACA1" w:rsidR="00035FCD" w:rsidRDefault="00035FCD" w:rsidP="00035FCD">
      <w:pPr>
        <w:pStyle w:val="ListParagraph"/>
        <w:numPr>
          <w:ilvl w:val="0"/>
          <w:numId w:val="4"/>
        </w:numPr>
      </w:pPr>
      <w:r>
        <w:t>Mode: Face to Face, Online, Telephone</w:t>
      </w:r>
    </w:p>
    <w:p w14:paraId="7C892946" w14:textId="6D51B7C3" w:rsidR="00035FCD" w:rsidRDefault="00035FCD" w:rsidP="00035FCD">
      <w:pPr>
        <w:pStyle w:val="ListParagraph"/>
        <w:numPr>
          <w:ilvl w:val="0"/>
          <w:numId w:val="4"/>
        </w:numPr>
      </w:pPr>
      <w:r>
        <w:t xml:space="preserve">Contact Type: First, Follow up, </w:t>
      </w:r>
      <w:proofErr w:type="gramStart"/>
      <w:r>
        <w:t>Referral</w:t>
      </w:r>
      <w:proofErr w:type="gramEnd"/>
    </w:p>
    <w:p w14:paraId="6F38E616" w14:textId="68BDB93D" w:rsidR="00035FCD" w:rsidRDefault="00035FCD" w:rsidP="00035FCD">
      <w:pPr>
        <w:pStyle w:val="ListParagraph"/>
        <w:numPr>
          <w:ilvl w:val="0"/>
          <w:numId w:val="4"/>
        </w:numPr>
      </w:pPr>
      <w:r>
        <w:t xml:space="preserve">Is anyone else present in the consultation </w:t>
      </w:r>
      <w:proofErr w:type="gramStart"/>
      <w:r>
        <w:t>room</w:t>
      </w:r>
      <w:proofErr w:type="gramEnd"/>
    </w:p>
    <w:p w14:paraId="0DCD3BB5" w14:textId="34E0D17F" w:rsidR="00035FCD" w:rsidRDefault="00035FCD" w:rsidP="00035FCD">
      <w:pPr>
        <w:pStyle w:val="ListParagraph"/>
        <w:numPr>
          <w:ilvl w:val="0"/>
          <w:numId w:val="4"/>
        </w:numPr>
      </w:pPr>
      <w:r>
        <w:t xml:space="preserve">Who are you/Who were they seen </w:t>
      </w:r>
      <w:proofErr w:type="gramStart"/>
      <w:r>
        <w:t>by</w:t>
      </w:r>
      <w:proofErr w:type="gramEnd"/>
    </w:p>
    <w:p w14:paraId="20542F1B" w14:textId="6244BA49" w:rsidR="00035FCD" w:rsidRDefault="00035FCD" w:rsidP="00035FCD">
      <w:pPr>
        <w:rPr>
          <w:b/>
          <w:bCs/>
        </w:rPr>
      </w:pPr>
      <w:r w:rsidRPr="00035FCD">
        <w:rPr>
          <w:b/>
          <w:bCs/>
        </w:rPr>
        <w:t>History</w:t>
      </w:r>
    </w:p>
    <w:p w14:paraId="26424440" w14:textId="00189E33" w:rsidR="00035FCD" w:rsidRDefault="00035FCD" w:rsidP="00035FCD">
      <w:r>
        <w:t xml:space="preserve">Clerk the history in the form of a medical interview. This is a </w:t>
      </w:r>
      <w:r w:rsidR="0037022A">
        <w:t xml:space="preserve">summarised (and pared down) version: </w:t>
      </w:r>
    </w:p>
    <w:tbl>
      <w:tblPr>
        <w:tblpPr w:leftFromText="180" w:rightFromText="180" w:vertAnchor="page" w:horzAnchor="margin" w:tblpY="5371"/>
        <w:tblW w:w="5000" w:type="pct"/>
        <w:tblCellMar>
          <w:left w:w="0" w:type="dxa"/>
          <w:right w:w="0" w:type="dxa"/>
        </w:tblCellMar>
        <w:tblLook w:val="0420" w:firstRow="1" w:lastRow="0" w:firstColumn="0" w:lastColumn="0" w:noHBand="0" w:noVBand="1"/>
      </w:tblPr>
      <w:tblGrid>
        <w:gridCol w:w="2824"/>
        <w:gridCol w:w="6182"/>
      </w:tblGrid>
      <w:tr w:rsidR="0037022A" w:rsidRPr="0037022A" w14:paraId="7FB60890" w14:textId="77777777" w:rsidTr="0037022A">
        <w:trPr>
          <w:trHeight w:val="192"/>
        </w:trPr>
        <w:tc>
          <w:tcPr>
            <w:tcW w:w="1568" w:type="pct"/>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34F71E64" w14:textId="77777777" w:rsidR="0037022A" w:rsidRPr="0037022A" w:rsidRDefault="0037022A" w:rsidP="0037022A">
            <w:r w:rsidRPr="0037022A">
              <w:rPr>
                <w:b/>
                <w:bCs/>
              </w:rPr>
              <w:t>Item</w:t>
            </w:r>
          </w:p>
        </w:tc>
        <w:tc>
          <w:tcPr>
            <w:tcW w:w="3432" w:type="pct"/>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0755C011" w14:textId="77777777" w:rsidR="0037022A" w:rsidRPr="0037022A" w:rsidRDefault="0037022A" w:rsidP="0037022A">
            <w:r w:rsidRPr="0037022A">
              <w:rPr>
                <w:b/>
                <w:bCs/>
              </w:rPr>
              <w:t>Description</w:t>
            </w:r>
          </w:p>
        </w:tc>
      </w:tr>
      <w:tr w:rsidR="0037022A" w:rsidRPr="0037022A" w14:paraId="1796D9DD" w14:textId="77777777" w:rsidTr="0037022A">
        <w:trPr>
          <w:trHeight w:val="384"/>
        </w:trPr>
        <w:tc>
          <w:tcPr>
            <w:tcW w:w="1568" w:type="pct"/>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5738BF4" w14:textId="77777777" w:rsidR="0037022A" w:rsidRPr="0037022A" w:rsidRDefault="0037022A" w:rsidP="0037022A">
            <w:r w:rsidRPr="0037022A">
              <w:t>Presenting Complaint (PC)</w:t>
            </w:r>
          </w:p>
        </w:tc>
        <w:tc>
          <w:tcPr>
            <w:tcW w:w="3432" w:type="pct"/>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CCCCB0F" w14:textId="77777777" w:rsidR="0037022A" w:rsidRPr="0037022A" w:rsidRDefault="0037022A" w:rsidP="0037022A">
            <w:r w:rsidRPr="0037022A">
              <w:t xml:space="preserve">What are/is the </w:t>
            </w:r>
            <w:proofErr w:type="gramStart"/>
            <w:r w:rsidRPr="0037022A">
              <w:t>principle</w:t>
            </w:r>
            <w:proofErr w:type="gramEnd"/>
            <w:r w:rsidRPr="0037022A">
              <w:t xml:space="preserve"> symptom(s)</w:t>
            </w:r>
          </w:p>
        </w:tc>
      </w:tr>
      <w:tr w:rsidR="0037022A" w:rsidRPr="0037022A" w14:paraId="2759D94E" w14:textId="77777777" w:rsidTr="0037022A">
        <w:trPr>
          <w:trHeight w:val="804"/>
        </w:trPr>
        <w:tc>
          <w:tcPr>
            <w:tcW w:w="1568" w:type="pct"/>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130BDD8" w14:textId="77777777" w:rsidR="0037022A" w:rsidRPr="0037022A" w:rsidRDefault="0037022A" w:rsidP="0037022A">
            <w:r w:rsidRPr="0037022A">
              <w:t>History of Presenting Complaint (HPC)</w:t>
            </w:r>
          </w:p>
        </w:tc>
        <w:tc>
          <w:tcPr>
            <w:tcW w:w="3432" w:type="pct"/>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5EFB0AF" w14:textId="77777777" w:rsidR="0037022A" w:rsidRPr="0037022A" w:rsidRDefault="0037022A" w:rsidP="0037022A">
            <w:r w:rsidRPr="0037022A">
              <w:t>General questions (consider SOCRATES or other tools) consider any therapies that have already been tried.</w:t>
            </w:r>
          </w:p>
        </w:tc>
      </w:tr>
      <w:tr w:rsidR="0037022A" w:rsidRPr="0037022A" w14:paraId="78700AB6" w14:textId="77777777" w:rsidTr="0037022A">
        <w:trPr>
          <w:trHeight w:val="221"/>
        </w:trPr>
        <w:tc>
          <w:tcPr>
            <w:tcW w:w="1568" w:type="pct"/>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CF253DC" w14:textId="77777777" w:rsidR="0037022A" w:rsidRPr="0037022A" w:rsidRDefault="0037022A" w:rsidP="0037022A">
            <w:r w:rsidRPr="0037022A">
              <w:t>Past Medical History (PMHx)</w:t>
            </w:r>
          </w:p>
        </w:tc>
        <w:tc>
          <w:tcPr>
            <w:tcW w:w="3432" w:type="pct"/>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788068C" w14:textId="77777777" w:rsidR="0037022A" w:rsidRPr="0037022A" w:rsidRDefault="0037022A" w:rsidP="0037022A">
            <w:r w:rsidRPr="0037022A">
              <w:t>Any other conditions, surgery</w:t>
            </w:r>
          </w:p>
        </w:tc>
      </w:tr>
      <w:tr w:rsidR="0037022A" w:rsidRPr="0037022A" w14:paraId="30EA86BD" w14:textId="77777777" w:rsidTr="0037022A">
        <w:trPr>
          <w:trHeight w:val="315"/>
        </w:trPr>
        <w:tc>
          <w:tcPr>
            <w:tcW w:w="1568" w:type="pct"/>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D57F0DC" w14:textId="77777777" w:rsidR="0037022A" w:rsidRPr="0037022A" w:rsidRDefault="0037022A" w:rsidP="0037022A">
            <w:r w:rsidRPr="0037022A">
              <w:t>Drug History (DH)</w:t>
            </w:r>
          </w:p>
        </w:tc>
        <w:tc>
          <w:tcPr>
            <w:tcW w:w="3432" w:type="pct"/>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1C014CB" w14:textId="77777777" w:rsidR="0037022A" w:rsidRPr="0037022A" w:rsidRDefault="0037022A" w:rsidP="0037022A">
            <w:r w:rsidRPr="0037022A">
              <w:t xml:space="preserve">May have </w:t>
            </w:r>
            <w:r w:rsidRPr="0037022A">
              <w:rPr>
                <w:b/>
                <w:bCs/>
              </w:rPr>
              <w:t xml:space="preserve">some </w:t>
            </w:r>
            <w:r w:rsidRPr="0037022A">
              <w:t>of this in the PMR already. Include OTC, Herbal and recreational drugs also. Allergies.</w:t>
            </w:r>
          </w:p>
        </w:tc>
      </w:tr>
      <w:tr w:rsidR="0037022A" w:rsidRPr="0037022A" w14:paraId="778D33D2" w14:textId="77777777" w:rsidTr="0037022A">
        <w:trPr>
          <w:trHeight w:val="804"/>
        </w:trPr>
        <w:tc>
          <w:tcPr>
            <w:tcW w:w="1568" w:type="pct"/>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03FD614" w14:textId="77777777" w:rsidR="0037022A" w:rsidRPr="0037022A" w:rsidRDefault="0037022A" w:rsidP="0037022A">
            <w:r w:rsidRPr="0037022A">
              <w:t>Social History (SH)</w:t>
            </w:r>
          </w:p>
        </w:tc>
        <w:tc>
          <w:tcPr>
            <w:tcW w:w="3432" w:type="pct"/>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C0499CE" w14:textId="77777777" w:rsidR="0037022A" w:rsidRPr="0037022A" w:rsidRDefault="0037022A" w:rsidP="0037022A">
            <w:r w:rsidRPr="0037022A">
              <w:t>Occupation, Home environment, Smoking status, Alcohol, Weight, Diet (Can be difficult – abuse, sexual history)</w:t>
            </w:r>
          </w:p>
        </w:tc>
      </w:tr>
      <w:tr w:rsidR="0037022A" w:rsidRPr="0037022A" w14:paraId="58985F65" w14:textId="77777777" w:rsidTr="0037022A">
        <w:trPr>
          <w:trHeight w:val="285"/>
        </w:trPr>
        <w:tc>
          <w:tcPr>
            <w:tcW w:w="1568" w:type="pct"/>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F0A0422" w14:textId="77777777" w:rsidR="0037022A" w:rsidRPr="0037022A" w:rsidRDefault="0037022A" w:rsidP="0037022A">
            <w:r w:rsidRPr="0037022A">
              <w:t>Review of Systems (</w:t>
            </w:r>
            <w:proofErr w:type="spellStart"/>
            <w:r w:rsidRPr="0037022A">
              <w:t>RoS</w:t>
            </w:r>
            <w:proofErr w:type="spellEnd"/>
            <w:r w:rsidRPr="0037022A">
              <w:t xml:space="preserve">) </w:t>
            </w:r>
          </w:p>
          <w:p w14:paraId="3E4D8E81" w14:textId="77777777" w:rsidR="0037022A" w:rsidRPr="0037022A" w:rsidRDefault="0037022A" w:rsidP="0037022A">
            <w:r w:rsidRPr="0037022A">
              <w:t>aka Systematic Enquiry (S/E)</w:t>
            </w:r>
          </w:p>
        </w:tc>
        <w:tc>
          <w:tcPr>
            <w:tcW w:w="3432" w:type="pct"/>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060B1F8" w14:textId="77777777" w:rsidR="0037022A" w:rsidRPr="0037022A" w:rsidRDefault="0037022A" w:rsidP="0037022A">
            <w:r w:rsidRPr="0037022A">
              <w:t xml:space="preserve">System specific questions dependent on history. Helps to establish diagnosis, identify red </w:t>
            </w:r>
            <w:proofErr w:type="gramStart"/>
            <w:r w:rsidRPr="0037022A">
              <w:t>flags</w:t>
            </w:r>
            <w:proofErr w:type="gramEnd"/>
            <w:r w:rsidRPr="0037022A">
              <w:t xml:space="preserve"> and rule out differentials.</w:t>
            </w:r>
          </w:p>
        </w:tc>
      </w:tr>
    </w:tbl>
    <w:p w14:paraId="180C6617" w14:textId="77777777" w:rsidR="0037022A" w:rsidRDefault="0037022A" w:rsidP="00035FCD"/>
    <w:p w14:paraId="55E3E6AD" w14:textId="692BE1E3" w:rsidR="0037022A" w:rsidRDefault="0037022A" w:rsidP="00035FCD">
      <w:r>
        <w:t xml:space="preserve">A full description, along with further clerking tips can be found here </w:t>
      </w:r>
      <w:hyperlink r:id="rId16" w:history="1">
        <w:r w:rsidRPr="008D0DD2">
          <w:rPr>
            <w:rStyle w:val="Hyperlink"/>
          </w:rPr>
          <w:t>https://geekymedics.com/clerking-101/</w:t>
        </w:r>
      </w:hyperlink>
      <w:r>
        <w:t xml:space="preserve"> </w:t>
      </w:r>
    </w:p>
    <w:p w14:paraId="5D07240C" w14:textId="6681EEB0" w:rsidR="0037022A" w:rsidRDefault="0037022A" w:rsidP="00035FCD">
      <w:r>
        <w:t xml:space="preserve">You may wish to use acronyms such as ASMETHOD, SOCRATES (Site, Onset, Character, Radiation, Associated Symptoms, Time/Duration, Exacerbating/ alleviating factors, Severity) or OLDCARTS to support your HPC. </w:t>
      </w:r>
      <w:r w:rsidR="00062ED1">
        <w:t xml:space="preserve">These were developed for pain history </w:t>
      </w:r>
      <w:proofErr w:type="gramStart"/>
      <w:r w:rsidR="00062ED1">
        <w:t>taking, but</w:t>
      </w:r>
      <w:proofErr w:type="gramEnd"/>
      <w:r w:rsidR="00062ED1">
        <w:t xml:space="preserve"> have found wider application in general HPC.</w:t>
      </w:r>
    </w:p>
    <w:p w14:paraId="4B65743B" w14:textId="77777777" w:rsidR="00062ED1" w:rsidRDefault="00062ED1" w:rsidP="00035FCD"/>
    <w:p w14:paraId="4A8FED4D" w14:textId="47A8A73F" w:rsidR="0037022A" w:rsidRDefault="0037022A" w:rsidP="00035FCD">
      <w:pPr>
        <w:rPr>
          <w:b/>
          <w:bCs/>
        </w:rPr>
      </w:pPr>
      <w:r w:rsidRPr="0037022A">
        <w:rPr>
          <w:b/>
          <w:bCs/>
        </w:rPr>
        <w:t>Examination</w:t>
      </w:r>
    </w:p>
    <w:p w14:paraId="7E7160BD" w14:textId="5D143674" w:rsidR="0037022A" w:rsidRDefault="0037022A" w:rsidP="00035FCD">
      <w:r>
        <w:t>Can be denoted as O/E (On Examination)</w:t>
      </w:r>
    </w:p>
    <w:p w14:paraId="3F24A767" w14:textId="6071658B" w:rsidR="0037022A" w:rsidRDefault="0037022A" w:rsidP="00035FCD">
      <w:r>
        <w:lastRenderedPageBreak/>
        <w:t>Include your first impressions and initial assessment here also – does the patient appear unwell? Consider your ‘End-o-bed-o-gram.’ Are they able to walk unassisted to the consultation room?</w:t>
      </w:r>
    </w:p>
    <w:p w14:paraId="79654E9C" w14:textId="77777777" w:rsidR="0037022A" w:rsidRDefault="0037022A" w:rsidP="00035FCD">
      <w:r>
        <w:t xml:space="preserve">State the examination in your notes, but do not describe it. Record what you found </w:t>
      </w:r>
      <w:proofErr w:type="gramStart"/>
      <w:r>
        <w:t>and also</w:t>
      </w:r>
      <w:proofErr w:type="gramEnd"/>
      <w:r>
        <w:t xml:space="preserve"> what you did NOT find that is pertinent to your line of enquiry. </w:t>
      </w:r>
    </w:p>
    <w:p w14:paraId="559F55E2" w14:textId="53E45387" w:rsidR="0037022A" w:rsidRDefault="0037022A" w:rsidP="00035FCD">
      <w:r>
        <w:t xml:space="preserve">NAD is often used to denote No Abnormality Detected/ Nothing Abnormal Detected (i.e. normal). </w:t>
      </w:r>
    </w:p>
    <w:p w14:paraId="2BE7D3FD" w14:textId="13DFA5E8" w:rsidR="0037022A" w:rsidRDefault="0037022A" w:rsidP="00035FCD">
      <w:r>
        <w:t>Give units for any readings taken.</w:t>
      </w:r>
    </w:p>
    <w:p w14:paraId="5CD165BD" w14:textId="037EC8A2" w:rsidR="0037022A" w:rsidRDefault="0037022A" w:rsidP="00035FCD">
      <w:r>
        <w:t>You can also consider how the patient is talking (in full sentences? Tone of voice, rate of speech, open/closed answers, are they tearful?) as part of your examination, as well as their body language (guarding, eye contact). Ensure when recording this you remain objective and report what is you are observing as opposed to what you interpret these to mean.</w:t>
      </w:r>
    </w:p>
    <w:p w14:paraId="06B18CDA" w14:textId="77777777" w:rsidR="0037022A" w:rsidRDefault="0037022A" w:rsidP="00035FCD"/>
    <w:p w14:paraId="01DCB8B4" w14:textId="04635E09" w:rsidR="0037022A" w:rsidRDefault="0037022A" w:rsidP="00035FCD">
      <w:pPr>
        <w:rPr>
          <w:b/>
          <w:bCs/>
        </w:rPr>
      </w:pPr>
      <w:r w:rsidRPr="0037022A">
        <w:rPr>
          <w:b/>
          <w:bCs/>
        </w:rPr>
        <w:t>Diagnosis or Impression</w:t>
      </w:r>
    </w:p>
    <w:p w14:paraId="73D8ADAE" w14:textId="7F38D77B" w:rsidR="0037022A" w:rsidRDefault="00B00965" w:rsidP="00035FCD">
      <w:proofErr w:type="gramStart"/>
      <w:r>
        <w:t>Generally</w:t>
      </w:r>
      <w:proofErr w:type="gramEnd"/>
      <w:r>
        <w:t xml:space="preserve"> one or two lines maximum. </w:t>
      </w:r>
    </w:p>
    <w:p w14:paraId="61E24B73" w14:textId="26C6547C" w:rsidR="00B00965" w:rsidRDefault="00B00965" w:rsidP="00035FCD">
      <w:r>
        <w:t>Needs to be clear and simple.</w:t>
      </w:r>
    </w:p>
    <w:p w14:paraId="28F78828" w14:textId="6ADC9802" w:rsidR="00B00965" w:rsidRDefault="00B00965" w:rsidP="00035FCD">
      <w:r>
        <w:t>Can also list differentials.</w:t>
      </w:r>
    </w:p>
    <w:p w14:paraId="12346198" w14:textId="3AC042E0" w:rsidR="00B00965" w:rsidRDefault="00B00965" w:rsidP="00035FCD">
      <w:r>
        <w:t xml:space="preserve">Indicate uncertainty with a question mark. </w:t>
      </w:r>
    </w:p>
    <w:p w14:paraId="2E84A086" w14:textId="6586B5DD" w:rsidR="00B00965" w:rsidRDefault="00B00965" w:rsidP="00035FCD">
      <w:r>
        <w:t>Omit if there is no diagnosis or impression.</w:t>
      </w:r>
    </w:p>
    <w:p w14:paraId="056F55FA" w14:textId="77777777" w:rsidR="00B00965" w:rsidRDefault="00B00965" w:rsidP="00035FCD"/>
    <w:p w14:paraId="52645580" w14:textId="1902F2BF" w:rsidR="00B00965" w:rsidRDefault="00B00965" w:rsidP="00035FCD">
      <w:pPr>
        <w:rPr>
          <w:b/>
          <w:bCs/>
        </w:rPr>
      </w:pPr>
      <w:r w:rsidRPr="00B00965">
        <w:rPr>
          <w:b/>
          <w:bCs/>
        </w:rPr>
        <w:t>Plan</w:t>
      </w:r>
    </w:p>
    <w:p w14:paraId="7C7B97BE" w14:textId="4B848E2C" w:rsidR="00B00965" w:rsidRPr="00B00965" w:rsidRDefault="00B00965" w:rsidP="00035FCD">
      <w:pPr>
        <w:rPr>
          <w:vertAlign w:val="superscript"/>
        </w:rPr>
      </w:pPr>
      <w:proofErr w:type="spellStart"/>
      <w:r w:rsidRPr="00B00965">
        <w:t>Safetynettin</w:t>
      </w:r>
      <w:r>
        <w:t>g</w:t>
      </w:r>
      <w:proofErr w:type="spellEnd"/>
      <w:r>
        <w:t xml:space="preserve"> is </w:t>
      </w:r>
      <w:proofErr w:type="gramStart"/>
      <w:r>
        <w:t>really important</w:t>
      </w:r>
      <w:proofErr w:type="gramEnd"/>
      <w:r>
        <w:t xml:space="preserve"> – both the advice we give and the time frame. Neighbour advocates asking three questions to help inform this:</w:t>
      </w:r>
      <w:proofErr w:type="gramStart"/>
      <w:r>
        <w:rPr>
          <w:vertAlign w:val="superscript"/>
        </w:rPr>
        <w:t>1</w:t>
      </w:r>
      <w:proofErr w:type="gramEnd"/>
    </w:p>
    <w:p w14:paraId="01A0C335" w14:textId="65EBA4EF" w:rsidR="00B00965" w:rsidRDefault="00B00965" w:rsidP="00B00965">
      <w:pPr>
        <w:pStyle w:val="ListParagraph"/>
        <w:numPr>
          <w:ilvl w:val="0"/>
          <w:numId w:val="5"/>
        </w:numPr>
      </w:pPr>
      <w:r>
        <w:t>If I’m right, what do I expect to happen?</w:t>
      </w:r>
    </w:p>
    <w:p w14:paraId="1304A4F2" w14:textId="5F1091DD" w:rsidR="00B00965" w:rsidRDefault="00B00965" w:rsidP="00B00965">
      <w:pPr>
        <w:pStyle w:val="ListParagraph"/>
        <w:numPr>
          <w:ilvl w:val="0"/>
          <w:numId w:val="5"/>
        </w:numPr>
      </w:pPr>
      <w:r>
        <w:t>How will I know if I’m wrong?</w:t>
      </w:r>
    </w:p>
    <w:p w14:paraId="7DC73A32" w14:textId="3A4A329D" w:rsidR="00B00965" w:rsidRDefault="00B00965" w:rsidP="00B00965">
      <w:pPr>
        <w:pStyle w:val="ListParagraph"/>
        <w:numPr>
          <w:ilvl w:val="0"/>
          <w:numId w:val="5"/>
        </w:numPr>
      </w:pPr>
      <w:r>
        <w:t>What would I do next?</w:t>
      </w:r>
    </w:p>
    <w:p w14:paraId="6E9F8BC3" w14:textId="1E449B59" w:rsidR="00B00965" w:rsidRPr="00B00965" w:rsidRDefault="00B00965" w:rsidP="00B00965">
      <w:r w:rsidRPr="00B00965">
        <w:t>Advice needs to be patient specific – red flags, escalation and time bound</w:t>
      </w:r>
      <w:r>
        <w:t>.</w:t>
      </w:r>
    </w:p>
    <w:p w14:paraId="6CA729F0" w14:textId="6A56C807" w:rsidR="00B00965" w:rsidRDefault="00B00965" w:rsidP="00B00965">
      <w:r w:rsidRPr="00B00965">
        <w:t>Include details of any agreed follow up</w:t>
      </w:r>
      <w:r>
        <w:t xml:space="preserve"> in your notes.</w:t>
      </w:r>
    </w:p>
    <w:p w14:paraId="11573BF4" w14:textId="6F7170E8" w:rsidR="00B00965" w:rsidRDefault="00B00965" w:rsidP="00B00965">
      <w:r>
        <w:t>Your plan should be clear and stepwise (numbering the points is good practice).</w:t>
      </w:r>
    </w:p>
    <w:p w14:paraId="61CE50BE" w14:textId="18FD58F2" w:rsidR="00B00965" w:rsidRDefault="00B00965" w:rsidP="00B00965">
      <w:r>
        <w:t>Give any treatment provided or stopped, along with risks and benefits.</w:t>
      </w:r>
    </w:p>
    <w:p w14:paraId="142381F7" w14:textId="271FB974" w:rsidR="00B00965" w:rsidRDefault="00B00965" w:rsidP="00B00965">
      <w:r>
        <w:t xml:space="preserve">Record the advice you give and whether written information was provided to supplement this. </w:t>
      </w:r>
    </w:p>
    <w:p w14:paraId="24244B15" w14:textId="0E28EAB5" w:rsidR="00B00965" w:rsidRDefault="00B00965" w:rsidP="00B00965">
      <w:r>
        <w:t>Consider if someone else can understand your plan from your notes – this might be the first thing the next clinician sees if the patient escalates to another care setting.</w:t>
      </w:r>
    </w:p>
    <w:p w14:paraId="50529749" w14:textId="77777777" w:rsidR="00B00965" w:rsidRDefault="00B00965" w:rsidP="00B00965"/>
    <w:p w14:paraId="0A132F8A" w14:textId="0FAA6B02" w:rsidR="00B00965" w:rsidRPr="00B00965" w:rsidRDefault="00B00965" w:rsidP="00B00965">
      <w:r>
        <w:rPr>
          <w:vertAlign w:val="superscript"/>
        </w:rPr>
        <w:t>1</w:t>
      </w:r>
      <w:r w:rsidRPr="00B00965">
        <w:t>Neighbour, R. (2005). The Inner Consultation: How to Develop an Effective and Intuitive Consulting Style, Second Edition (2nd ed.). CRC Press. https://doi.org/10.1201/9780203736548</w:t>
      </w:r>
    </w:p>
    <w:p w14:paraId="6FCBDD17" w14:textId="2A4A933F" w:rsidR="00B00965" w:rsidRPr="00B00965" w:rsidRDefault="00B00965" w:rsidP="00B00965">
      <w:pPr>
        <w:pStyle w:val="Heading2"/>
        <w:rPr>
          <w:b/>
          <w:bCs/>
        </w:rPr>
      </w:pPr>
      <w:r w:rsidRPr="00B00965">
        <w:rPr>
          <w:b/>
          <w:bCs/>
        </w:rPr>
        <w:lastRenderedPageBreak/>
        <w:t>Appropriate abbreviations</w:t>
      </w:r>
    </w:p>
    <w:p w14:paraId="2E4CC108" w14:textId="77777777" w:rsidR="00B00965" w:rsidRDefault="00B00965" w:rsidP="00B00965"/>
    <w:p w14:paraId="4C471D12" w14:textId="2780F236" w:rsidR="00B00965" w:rsidRDefault="00B00965" w:rsidP="00B00965">
      <w:r>
        <w:t>Setting – F2F (Face to face)</w:t>
      </w:r>
    </w:p>
    <w:p w14:paraId="6AA43925" w14:textId="2E4C9D9B" w:rsidR="00B00965" w:rsidRPr="00B00965" w:rsidRDefault="00B00965" w:rsidP="00B00965">
      <w:r w:rsidRPr="00B00965">
        <w:t xml:space="preserve">Sections of the Medical Interview – PC, HPC, PMH(x), DH(x), </w:t>
      </w:r>
      <w:proofErr w:type="spellStart"/>
      <w:r w:rsidRPr="00B00965">
        <w:t>SHx</w:t>
      </w:r>
      <w:proofErr w:type="spellEnd"/>
      <w:r w:rsidRPr="00B00965">
        <w:t xml:space="preserve">, </w:t>
      </w:r>
      <w:proofErr w:type="spellStart"/>
      <w:r w:rsidRPr="00B00965">
        <w:t>RoS</w:t>
      </w:r>
      <w:proofErr w:type="spellEnd"/>
    </w:p>
    <w:p w14:paraId="39312CDD" w14:textId="77777777" w:rsidR="00B00965" w:rsidRPr="00B00965" w:rsidRDefault="00B00965" w:rsidP="00B00965">
      <w:r w:rsidRPr="00B00965">
        <w:t>Ideas, Concerns, Expectations – ICE</w:t>
      </w:r>
    </w:p>
    <w:p w14:paraId="2E92EDC2" w14:textId="199B3F37" w:rsidR="00B00965" w:rsidRPr="00B00965" w:rsidRDefault="00B00965" w:rsidP="00B00965">
      <w:r w:rsidRPr="00B00965">
        <w:t>Allergies – NKDA</w:t>
      </w:r>
      <w:r w:rsidR="003113EC">
        <w:t xml:space="preserve"> (none)</w:t>
      </w:r>
    </w:p>
    <w:p w14:paraId="55B7EC4A" w14:textId="77777777" w:rsidR="00B00965" w:rsidRPr="00B00965" w:rsidRDefault="00B00965" w:rsidP="00B00965">
      <w:r w:rsidRPr="00B00965">
        <w:t>Examinations – BP, RR, (O</w:t>
      </w:r>
      <w:proofErr w:type="gramStart"/>
      <w:r w:rsidRPr="00B00965">
        <w:t>2)Sats</w:t>
      </w:r>
      <w:proofErr w:type="gramEnd"/>
      <w:r w:rsidRPr="00B00965">
        <w:t>, HR, Temp</w:t>
      </w:r>
    </w:p>
    <w:p w14:paraId="0BF0B14C" w14:textId="77777777" w:rsidR="00B00965" w:rsidRDefault="00B00965" w:rsidP="00B00965">
      <w:r w:rsidRPr="00B00965">
        <w:t xml:space="preserve">Dosing – od, bd, </w:t>
      </w:r>
      <w:proofErr w:type="spellStart"/>
      <w:r w:rsidRPr="00B00965">
        <w:t>tds</w:t>
      </w:r>
      <w:proofErr w:type="spellEnd"/>
      <w:r w:rsidRPr="00B00965">
        <w:t xml:space="preserve"> </w:t>
      </w:r>
      <w:proofErr w:type="gramStart"/>
      <w:r w:rsidRPr="00B00965">
        <w:t>etc</w:t>
      </w:r>
      <w:proofErr w:type="gramEnd"/>
    </w:p>
    <w:p w14:paraId="0B235CAF" w14:textId="32019E12" w:rsidR="00B00965" w:rsidRDefault="00B00965" w:rsidP="00B00965">
      <w:r>
        <w:t xml:space="preserve">Blood tests – TFT, FBC, LFT etc </w:t>
      </w:r>
    </w:p>
    <w:p w14:paraId="1429B3C9" w14:textId="04E7EF8F" w:rsidR="00B00965" w:rsidRPr="00B00965" w:rsidRDefault="00B00965" w:rsidP="00B00965">
      <w:r>
        <w:t>Prescribed therapy - Rx</w:t>
      </w:r>
    </w:p>
    <w:p w14:paraId="2BCE5EFE" w14:textId="77777777" w:rsidR="00B00965" w:rsidRPr="00B00965" w:rsidRDefault="00B00965" w:rsidP="00B00965">
      <w:r w:rsidRPr="00B00965">
        <w:t>Contextualised abbreviations – E.g. Otoscopy…. R Ear.</w:t>
      </w:r>
    </w:p>
    <w:p w14:paraId="271EFA76" w14:textId="77777777" w:rsidR="00B00965" w:rsidRPr="00B00965" w:rsidRDefault="00B00965" w:rsidP="00B00965">
      <w:r w:rsidRPr="00B00965">
        <w:t xml:space="preserve">+ a lot ++ lots and lots </w:t>
      </w:r>
    </w:p>
    <w:p w14:paraId="0822BDB1" w14:textId="6A7B3F94" w:rsidR="00B00965" w:rsidRDefault="00B00965" w:rsidP="00B00965">
      <w:r w:rsidRPr="00B00965">
        <w:t>-</w:t>
      </w:r>
      <w:proofErr w:type="spellStart"/>
      <w:r w:rsidRPr="00B00965">
        <w:t>ve</w:t>
      </w:r>
      <w:proofErr w:type="spellEnd"/>
      <w:r w:rsidRPr="00B00965">
        <w:t xml:space="preserve"> negative, +</w:t>
      </w:r>
      <w:proofErr w:type="spellStart"/>
      <w:r w:rsidRPr="00B00965">
        <w:t>ve</w:t>
      </w:r>
      <w:proofErr w:type="spellEnd"/>
      <w:r w:rsidRPr="00B00965">
        <w:t xml:space="preserve"> positive</w:t>
      </w:r>
    </w:p>
    <w:p w14:paraId="4074554A" w14:textId="1F5979CA" w:rsidR="00B00965" w:rsidRDefault="00B00965" w:rsidP="00B00965">
      <w:r>
        <w:t>? Unsure</w:t>
      </w:r>
    </w:p>
    <w:p w14:paraId="50628074" w14:textId="77777777" w:rsidR="00B00965" w:rsidRDefault="00B00965" w:rsidP="00B00965"/>
    <w:p w14:paraId="75AC71E2" w14:textId="136C38BF" w:rsidR="00B00965" w:rsidRDefault="00B00965" w:rsidP="00B00965">
      <w:r>
        <w:t xml:space="preserve">There is a  good guide around common abbreviations here (however, some are hospital specific or could be ambiguous, so take with a pinch of salt and if unsure, contextualise or don’t use them) </w:t>
      </w:r>
      <w:hyperlink r:id="rId17" w:history="1">
        <w:r w:rsidRPr="008D0DD2">
          <w:rPr>
            <w:rStyle w:val="Hyperlink"/>
          </w:rPr>
          <w:t>https://www.stthomasmedicalgroup.co.uk/wp-content/uploads/2015/05/Common-Abbreviations-1.pdf</w:t>
        </w:r>
      </w:hyperlink>
      <w:r>
        <w:t xml:space="preserve"> </w:t>
      </w:r>
    </w:p>
    <w:p w14:paraId="74176446" w14:textId="107326EE" w:rsidR="00B00965" w:rsidRDefault="00B00965" w:rsidP="00B00965">
      <w:r>
        <w:t xml:space="preserve">The NHS website also has a good list of common abbreviations </w:t>
      </w:r>
      <w:hyperlink r:id="rId18" w:history="1">
        <w:r w:rsidRPr="008D0DD2">
          <w:rPr>
            <w:rStyle w:val="Hyperlink"/>
          </w:rPr>
          <w:t>https://www.nhs.uk/nhs-app/nhs-app-help-and-support/health-records-in-the-nhs-app/abbreviations-commonly-found-in-medical-records/</w:t>
        </w:r>
      </w:hyperlink>
      <w:r>
        <w:t xml:space="preserve"> </w:t>
      </w:r>
    </w:p>
    <w:p w14:paraId="49A38863" w14:textId="0014B964" w:rsidR="00B00965" w:rsidRDefault="00B00965" w:rsidP="00B00965">
      <w:r>
        <w:t xml:space="preserve">Be wary of AMBIGUOUS or niche abbreviations – a list of many of these can be found in this article </w:t>
      </w:r>
      <w:hyperlink r:id="rId19" w:history="1">
        <w:r w:rsidRPr="00B00965">
          <w:rPr>
            <w:rStyle w:val="Hyperlink"/>
          </w:rPr>
          <w:t>https://www.ismp.org/resources/medical-abbreviations-have-contradictory-or-ambiguous-meanings</w:t>
        </w:r>
      </w:hyperlink>
      <w:r w:rsidRPr="00B00965">
        <w:t xml:space="preserve"> </w:t>
      </w:r>
    </w:p>
    <w:p w14:paraId="50DDF6BF" w14:textId="77777777" w:rsidR="00B00965" w:rsidRDefault="00B00965" w:rsidP="00B00965">
      <w:pPr>
        <w:sectPr w:rsidR="00B00965" w:rsidSect="002D4E7C">
          <w:pgSz w:w="11906" w:h="16838"/>
          <w:pgMar w:top="1440" w:right="1440" w:bottom="1440" w:left="1440" w:header="708" w:footer="708" w:gutter="0"/>
          <w:cols w:space="708"/>
          <w:docGrid w:linePitch="360"/>
        </w:sectPr>
      </w:pPr>
    </w:p>
    <w:p w14:paraId="4F230C17" w14:textId="7F33C05D" w:rsidR="00B00965" w:rsidRDefault="003113EC" w:rsidP="003113EC">
      <w:pPr>
        <w:pStyle w:val="Heading2"/>
        <w:rPr>
          <w:b/>
          <w:bCs/>
        </w:rPr>
      </w:pPr>
      <w:r w:rsidRPr="003113EC">
        <w:rPr>
          <w:b/>
          <w:bCs/>
        </w:rPr>
        <w:lastRenderedPageBreak/>
        <w:t>Tips and Pitfalls</w:t>
      </w:r>
    </w:p>
    <w:p w14:paraId="48E2A28E" w14:textId="77777777" w:rsidR="003113EC" w:rsidRDefault="003113EC" w:rsidP="003113EC"/>
    <w:p w14:paraId="70F45644" w14:textId="52BCE4D9" w:rsidR="003113EC" w:rsidRPr="003113EC" w:rsidRDefault="003113EC" w:rsidP="003113EC">
      <w:pPr>
        <w:rPr>
          <w:b/>
          <w:bCs/>
        </w:rPr>
      </w:pPr>
      <w:r w:rsidRPr="003113EC">
        <w:rPr>
          <w:b/>
          <w:bCs/>
        </w:rPr>
        <w:t>Common Pitfalls</w:t>
      </w:r>
    </w:p>
    <w:p w14:paraId="27EA81AD" w14:textId="77777777" w:rsidR="003113EC" w:rsidRPr="003113EC" w:rsidRDefault="003113EC" w:rsidP="003113EC">
      <w:r w:rsidRPr="003113EC">
        <w:t>Waffle/prose</w:t>
      </w:r>
    </w:p>
    <w:p w14:paraId="6A7D8FAE" w14:textId="77777777" w:rsidR="003113EC" w:rsidRPr="003113EC" w:rsidRDefault="003113EC" w:rsidP="003113EC">
      <w:r w:rsidRPr="003113EC">
        <w:t>Unclear next steps or No plan</w:t>
      </w:r>
    </w:p>
    <w:p w14:paraId="6DFDEB23" w14:textId="77777777" w:rsidR="003113EC" w:rsidRPr="003113EC" w:rsidRDefault="003113EC" w:rsidP="003113EC">
      <w:r w:rsidRPr="003113EC">
        <w:t>No safety netting/escalation advice</w:t>
      </w:r>
    </w:p>
    <w:p w14:paraId="41329141" w14:textId="0ADA4505" w:rsidR="003113EC" w:rsidRPr="003113EC" w:rsidRDefault="003113EC" w:rsidP="003113EC">
      <w:r>
        <w:t>Including judgements instead of fact</w:t>
      </w:r>
    </w:p>
    <w:p w14:paraId="4BFB480C" w14:textId="60E298DF" w:rsidR="003113EC" w:rsidRPr="003113EC" w:rsidRDefault="003113EC" w:rsidP="003113EC">
      <w:r w:rsidRPr="003113EC">
        <w:t>Duplicating effort</w:t>
      </w:r>
      <w:r>
        <w:t xml:space="preserve"> (e.g. writing up notes on paper and then transposing)</w:t>
      </w:r>
    </w:p>
    <w:p w14:paraId="0366CAB5" w14:textId="7C7867BF" w:rsidR="003113EC" w:rsidRPr="003113EC" w:rsidRDefault="003113EC" w:rsidP="003113EC">
      <w:r w:rsidRPr="003113EC">
        <w:t xml:space="preserve">‘Saving’ write ups for </w:t>
      </w:r>
      <w:proofErr w:type="gramStart"/>
      <w:r w:rsidRPr="003113EC">
        <w:t>later</w:t>
      </w:r>
      <w:proofErr w:type="gramEnd"/>
    </w:p>
    <w:p w14:paraId="40635DB0" w14:textId="197B3B9B" w:rsidR="003113EC" w:rsidRDefault="003113EC" w:rsidP="003113EC">
      <w:r w:rsidRPr="003113EC">
        <w:t>Ambiguous/Niche Abbreviations</w:t>
      </w:r>
    </w:p>
    <w:p w14:paraId="1EE1D59A" w14:textId="77777777" w:rsidR="003113EC" w:rsidRDefault="003113EC" w:rsidP="003113EC"/>
    <w:p w14:paraId="2B2089F1" w14:textId="43322DC1" w:rsidR="003113EC" w:rsidRDefault="003113EC" w:rsidP="003113EC">
      <w:pPr>
        <w:rPr>
          <w:b/>
          <w:bCs/>
        </w:rPr>
      </w:pPr>
      <w:r w:rsidRPr="003113EC">
        <w:rPr>
          <w:b/>
          <w:bCs/>
        </w:rPr>
        <w:t>Top Tips</w:t>
      </w:r>
    </w:p>
    <w:p w14:paraId="453F75A8" w14:textId="77777777" w:rsidR="003113EC" w:rsidRPr="003113EC" w:rsidRDefault="003113EC" w:rsidP="003113EC">
      <w:r w:rsidRPr="003113EC">
        <w:t xml:space="preserve">Ensure note taking is </w:t>
      </w:r>
      <w:proofErr w:type="gramStart"/>
      <w:r w:rsidRPr="003113EC">
        <w:t>contemporaneous</w:t>
      </w:r>
      <w:proofErr w:type="gramEnd"/>
    </w:p>
    <w:p w14:paraId="2E918EB1" w14:textId="77777777" w:rsidR="003113EC" w:rsidRPr="003113EC" w:rsidRDefault="003113EC" w:rsidP="003113EC">
      <w:r w:rsidRPr="003113EC">
        <w:t xml:space="preserve">Announce to the patient what you will be </w:t>
      </w:r>
      <w:proofErr w:type="gramStart"/>
      <w:r w:rsidRPr="003113EC">
        <w:t>doing</w:t>
      </w:r>
      <w:proofErr w:type="gramEnd"/>
    </w:p>
    <w:p w14:paraId="211BDBEB" w14:textId="386A1C4C" w:rsidR="003113EC" w:rsidRPr="003113EC" w:rsidRDefault="003113EC" w:rsidP="003113EC">
      <w:r w:rsidRPr="003113EC">
        <w:t>If r</w:t>
      </w:r>
      <w:r>
        <w:t>outinely consulting r</w:t>
      </w:r>
      <w:r w:rsidRPr="003113EC">
        <w:t>emote</w:t>
      </w:r>
      <w:r>
        <w:t>ly</w:t>
      </w:r>
      <w:r w:rsidRPr="003113EC">
        <w:t xml:space="preserve">, invest in a </w:t>
      </w:r>
      <w:proofErr w:type="gramStart"/>
      <w:r w:rsidRPr="003113EC">
        <w:t>headset</w:t>
      </w:r>
      <w:proofErr w:type="gramEnd"/>
    </w:p>
    <w:p w14:paraId="44D08204" w14:textId="77777777" w:rsidR="003113EC" w:rsidRPr="003113EC" w:rsidRDefault="003113EC" w:rsidP="003113EC">
      <w:r w:rsidRPr="003113EC">
        <w:t>Don’t leave the consultation room until you’re finished(!)</w:t>
      </w:r>
    </w:p>
    <w:p w14:paraId="0E189D69" w14:textId="4A99A216" w:rsidR="003113EC" w:rsidRPr="003113EC" w:rsidRDefault="003113EC" w:rsidP="003113EC">
      <w:r w:rsidRPr="003113EC">
        <w:t>Be exacting</w:t>
      </w:r>
      <w:r>
        <w:t>,</w:t>
      </w:r>
      <w:r w:rsidRPr="003113EC">
        <w:t xml:space="preserve"> comprehensive and </w:t>
      </w:r>
      <w:proofErr w:type="gramStart"/>
      <w:r w:rsidRPr="003113EC">
        <w:t>concise</w:t>
      </w:r>
      <w:proofErr w:type="gramEnd"/>
    </w:p>
    <w:p w14:paraId="615B8355" w14:textId="77777777" w:rsidR="003113EC" w:rsidRPr="003113EC" w:rsidRDefault="003113EC" w:rsidP="003113EC">
      <w:r w:rsidRPr="003113EC">
        <w:t xml:space="preserve">Be </w:t>
      </w:r>
      <w:proofErr w:type="gramStart"/>
      <w:r w:rsidRPr="003113EC">
        <w:t>polite</w:t>
      </w:r>
      <w:proofErr w:type="gramEnd"/>
    </w:p>
    <w:p w14:paraId="0ECA4AF1" w14:textId="77777777" w:rsidR="003113EC" w:rsidRPr="003113EC" w:rsidRDefault="003113EC" w:rsidP="003113EC">
      <w:r w:rsidRPr="003113EC">
        <w:t xml:space="preserve">Be </w:t>
      </w:r>
      <w:proofErr w:type="gramStart"/>
      <w:r w:rsidRPr="003113EC">
        <w:t>objective</w:t>
      </w:r>
      <w:proofErr w:type="gramEnd"/>
      <w:r w:rsidRPr="003113EC">
        <w:t xml:space="preserve"> </w:t>
      </w:r>
    </w:p>
    <w:p w14:paraId="01A9CB15" w14:textId="77777777" w:rsidR="003113EC" w:rsidRPr="003113EC" w:rsidRDefault="003113EC" w:rsidP="003113EC">
      <w:r w:rsidRPr="003113EC">
        <w:t xml:space="preserve">Support any opinions with </w:t>
      </w:r>
      <w:proofErr w:type="gramStart"/>
      <w:r w:rsidRPr="003113EC">
        <w:t>evidence</w:t>
      </w:r>
      <w:proofErr w:type="gramEnd"/>
    </w:p>
    <w:p w14:paraId="69E09BB3" w14:textId="77777777" w:rsidR="003113EC" w:rsidRPr="003113EC" w:rsidRDefault="003113EC" w:rsidP="003113EC">
      <w:r w:rsidRPr="003113EC">
        <w:t xml:space="preserve">Provide a clear, stepwise </w:t>
      </w:r>
      <w:proofErr w:type="gramStart"/>
      <w:r w:rsidRPr="003113EC">
        <w:t>plan</w:t>
      </w:r>
      <w:proofErr w:type="gramEnd"/>
    </w:p>
    <w:p w14:paraId="0D068AA5" w14:textId="1E53AA23" w:rsidR="003113EC" w:rsidRDefault="003113EC" w:rsidP="003113EC">
      <w:r w:rsidRPr="003113EC">
        <w:t>Reflective Practice</w:t>
      </w:r>
      <w:r>
        <w:t xml:space="preserve"> (can you either record your own consultations </w:t>
      </w:r>
      <w:proofErr w:type="gramStart"/>
      <w:r>
        <w:t>and</w:t>
      </w:r>
      <w:proofErr w:type="gramEnd"/>
      <w:r>
        <w:t xml:space="preserve"> listen back later? Or ask a colleague to sit in and give constructive feedback? Or observe other people who run clinics regularly?)</w:t>
      </w:r>
    </w:p>
    <w:p w14:paraId="318CCDDC" w14:textId="77777777" w:rsidR="003113EC" w:rsidRDefault="003113EC" w:rsidP="003113EC">
      <w:pPr>
        <w:sectPr w:rsidR="003113EC" w:rsidSect="002D4E7C">
          <w:pgSz w:w="11906" w:h="16838"/>
          <w:pgMar w:top="1440" w:right="1440" w:bottom="1440" w:left="1440" w:header="708" w:footer="708" w:gutter="0"/>
          <w:cols w:space="708"/>
          <w:docGrid w:linePitch="360"/>
        </w:sectPr>
      </w:pPr>
    </w:p>
    <w:p w14:paraId="08AB5FF4" w14:textId="1BFD952C" w:rsidR="003113EC" w:rsidRDefault="003113EC" w:rsidP="003113EC">
      <w:pPr>
        <w:pStyle w:val="Heading1"/>
        <w:rPr>
          <w:b/>
          <w:bCs/>
        </w:rPr>
      </w:pPr>
      <w:r w:rsidRPr="003113EC">
        <w:rPr>
          <w:b/>
          <w:bCs/>
        </w:rPr>
        <w:lastRenderedPageBreak/>
        <w:t>Further Reading</w:t>
      </w:r>
    </w:p>
    <w:p w14:paraId="75B8F231" w14:textId="77777777" w:rsidR="003113EC" w:rsidRDefault="003113EC" w:rsidP="003113EC"/>
    <w:p w14:paraId="3FF10E9B" w14:textId="544F5CF8" w:rsidR="003113EC" w:rsidRDefault="003113EC"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r w:rsidRPr="003113EC">
        <w:rPr>
          <w:rFonts w:ascii="Source Sans Pro" w:eastAsia="Times New Roman" w:hAnsi="Source Sans Pro" w:cs="Times New Roman"/>
          <w:color w:val="3A3A3A"/>
          <w:kern w:val="0"/>
          <w:sz w:val="23"/>
          <w:szCs w:val="23"/>
          <w:lang w:eastAsia="en-GB"/>
          <w14:ligatures w14:val="none"/>
        </w:rPr>
        <w:t>Hopcroft, K., &amp; Forte, V. (2020). Symptom sorter (Sixth edition.). Taylor &amp; Francis Group.</w:t>
      </w:r>
    </w:p>
    <w:p w14:paraId="5A27E608" w14:textId="77777777" w:rsidR="003113EC" w:rsidRDefault="003113EC"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12558B08" w14:textId="77777777" w:rsidR="003113EC" w:rsidRPr="003113EC" w:rsidRDefault="003113EC" w:rsidP="003113EC">
      <w:pPr>
        <w:spacing w:after="0" w:line="240" w:lineRule="auto"/>
        <w:rPr>
          <w:rFonts w:ascii="Source Sans Pro" w:eastAsia="Times New Roman" w:hAnsi="Source Sans Pro" w:cs="Times New Roman"/>
          <w:color w:val="3A3A3A"/>
          <w:kern w:val="0"/>
          <w:sz w:val="23"/>
          <w:szCs w:val="23"/>
          <w:lang w:eastAsia="en-GB"/>
          <w14:ligatures w14:val="none"/>
        </w:rPr>
      </w:pPr>
      <w:r w:rsidRPr="003113EC">
        <w:rPr>
          <w:rFonts w:ascii="Source Sans Pro" w:eastAsia="Times New Roman" w:hAnsi="Source Sans Pro" w:cs="Times New Roman"/>
          <w:color w:val="3A3A3A"/>
          <w:kern w:val="0"/>
          <w:sz w:val="23"/>
          <w:szCs w:val="23"/>
          <w:lang w:eastAsia="en-GB"/>
          <w14:ligatures w14:val="none"/>
        </w:rPr>
        <w:t>Douglas, G., Nicol, F., Robertson, C., &amp; Robertson, C. S. L. in E. M. C. (2013). Macleod’s Clinical Examination (Thirteenth edition.). Elsevier.</w:t>
      </w:r>
    </w:p>
    <w:p w14:paraId="606C1DAF" w14:textId="77777777" w:rsidR="003113EC" w:rsidRDefault="003113EC"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5282E416" w14:textId="55BC01B3" w:rsidR="003113EC" w:rsidRDefault="003113EC"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r>
        <w:rPr>
          <w:rFonts w:ascii="Source Sans Pro" w:eastAsia="Times New Roman" w:hAnsi="Source Sans Pro" w:cs="Times New Roman"/>
          <w:color w:val="3A3A3A"/>
          <w:kern w:val="0"/>
          <w:sz w:val="23"/>
          <w:szCs w:val="23"/>
          <w:lang w:eastAsia="en-GB"/>
          <w14:ligatures w14:val="none"/>
        </w:rPr>
        <w:t>Cooper, N. &amp; Frain, J. (2017) ABC of Clinical Reasoning. Wiley &amp; Sons</w:t>
      </w:r>
    </w:p>
    <w:p w14:paraId="199C1B6B" w14:textId="77777777" w:rsidR="003113EC" w:rsidRDefault="003113EC"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3CBB5B6C" w14:textId="21E3BAE5" w:rsidR="003113EC" w:rsidRDefault="003113EC"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r>
        <w:rPr>
          <w:rFonts w:ascii="Source Sans Pro" w:eastAsia="Times New Roman" w:hAnsi="Source Sans Pro" w:cs="Times New Roman"/>
          <w:color w:val="3A3A3A"/>
          <w:kern w:val="0"/>
          <w:sz w:val="23"/>
          <w:szCs w:val="23"/>
          <w:lang w:eastAsia="en-GB"/>
          <w14:ligatures w14:val="none"/>
        </w:rPr>
        <w:t xml:space="preserve">Johnson, G., </w:t>
      </w:r>
      <w:r w:rsidR="00062ED1">
        <w:rPr>
          <w:rFonts w:ascii="Source Sans Pro" w:eastAsia="Times New Roman" w:hAnsi="Source Sans Pro" w:cs="Times New Roman"/>
          <w:color w:val="3A3A3A"/>
          <w:kern w:val="0"/>
          <w:sz w:val="23"/>
          <w:szCs w:val="23"/>
          <w:lang w:eastAsia="en-GB"/>
          <w14:ligatures w14:val="none"/>
        </w:rPr>
        <w:t xml:space="preserve">Hill-Smith, I., &amp; </w:t>
      </w:r>
      <w:proofErr w:type="spellStart"/>
      <w:r w:rsidR="00062ED1">
        <w:rPr>
          <w:rFonts w:ascii="Source Sans Pro" w:eastAsia="Times New Roman" w:hAnsi="Source Sans Pro" w:cs="Times New Roman"/>
          <w:color w:val="3A3A3A"/>
          <w:kern w:val="0"/>
          <w:sz w:val="23"/>
          <w:szCs w:val="23"/>
          <w:lang w:eastAsia="en-GB"/>
          <w14:ligatures w14:val="none"/>
        </w:rPr>
        <w:t>Bakhai</w:t>
      </w:r>
      <w:proofErr w:type="spellEnd"/>
      <w:r w:rsidR="00062ED1">
        <w:rPr>
          <w:rFonts w:ascii="Source Sans Pro" w:eastAsia="Times New Roman" w:hAnsi="Source Sans Pro" w:cs="Times New Roman"/>
          <w:color w:val="3A3A3A"/>
          <w:kern w:val="0"/>
          <w:sz w:val="23"/>
          <w:szCs w:val="23"/>
          <w:lang w:eastAsia="en-GB"/>
          <w14:ligatures w14:val="none"/>
        </w:rPr>
        <w:t>., C. (2018) The Minor Illness Manual (5</w:t>
      </w:r>
      <w:r w:rsidR="00062ED1" w:rsidRPr="00062ED1">
        <w:rPr>
          <w:rFonts w:ascii="Source Sans Pro" w:eastAsia="Times New Roman" w:hAnsi="Source Sans Pro" w:cs="Times New Roman"/>
          <w:color w:val="3A3A3A"/>
          <w:kern w:val="0"/>
          <w:sz w:val="23"/>
          <w:szCs w:val="23"/>
          <w:vertAlign w:val="superscript"/>
          <w:lang w:eastAsia="en-GB"/>
          <w14:ligatures w14:val="none"/>
        </w:rPr>
        <w:t>th</w:t>
      </w:r>
      <w:r w:rsidR="00062ED1">
        <w:rPr>
          <w:rFonts w:ascii="Source Sans Pro" w:eastAsia="Times New Roman" w:hAnsi="Source Sans Pro" w:cs="Times New Roman"/>
          <w:color w:val="3A3A3A"/>
          <w:kern w:val="0"/>
          <w:sz w:val="23"/>
          <w:szCs w:val="23"/>
          <w:lang w:eastAsia="en-GB"/>
          <w14:ligatures w14:val="none"/>
        </w:rPr>
        <w:t xml:space="preserve"> Edition) CRC Press</w:t>
      </w:r>
    </w:p>
    <w:p w14:paraId="0115F4D3" w14:textId="77777777" w:rsidR="00062ED1" w:rsidRDefault="00062ED1"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3CB14BC4" w14:textId="75A034D7" w:rsidR="00062ED1" w:rsidRDefault="00062ED1"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r>
        <w:rPr>
          <w:rFonts w:ascii="Source Sans Pro" w:eastAsia="Times New Roman" w:hAnsi="Source Sans Pro" w:cs="Times New Roman"/>
          <w:color w:val="3A3A3A"/>
          <w:kern w:val="0"/>
          <w:sz w:val="23"/>
          <w:szCs w:val="23"/>
          <w:lang w:eastAsia="en-GB"/>
          <w14:ligatures w14:val="none"/>
        </w:rPr>
        <w:t xml:space="preserve">Also check out the RPS Library for titles in the Oxford </w:t>
      </w:r>
      <w:r w:rsidR="009300F1">
        <w:rPr>
          <w:rFonts w:ascii="Source Sans Pro" w:eastAsia="Times New Roman" w:hAnsi="Source Sans Pro" w:cs="Times New Roman"/>
          <w:color w:val="3A3A3A"/>
          <w:kern w:val="0"/>
          <w:sz w:val="23"/>
          <w:szCs w:val="23"/>
          <w:lang w:eastAsia="en-GB"/>
          <w14:ligatures w14:val="none"/>
        </w:rPr>
        <w:t>Handbook</w:t>
      </w:r>
      <w:r>
        <w:rPr>
          <w:rFonts w:ascii="Source Sans Pro" w:eastAsia="Times New Roman" w:hAnsi="Source Sans Pro" w:cs="Times New Roman"/>
          <w:color w:val="3A3A3A"/>
          <w:kern w:val="0"/>
          <w:sz w:val="23"/>
          <w:szCs w:val="23"/>
          <w:lang w:eastAsia="en-GB"/>
          <w14:ligatures w14:val="none"/>
        </w:rPr>
        <w:t xml:space="preserve"> Series, Symptom </w:t>
      </w:r>
      <w:proofErr w:type="gramStart"/>
      <w:r>
        <w:rPr>
          <w:rFonts w:ascii="Source Sans Pro" w:eastAsia="Times New Roman" w:hAnsi="Source Sans Pro" w:cs="Times New Roman"/>
          <w:color w:val="3A3A3A"/>
          <w:kern w:val="0"/>
          <w:sz w:val="23"/>
          <w:szCs w:val="23"/>
          <w:lang w:eastAsia="en-GB"/>
          <w14:ligatures w14:val="none"/>
        </w:rPr>
        <w:t>Sorter</w:t>
      </w:r>
      <w:proofErr w:type="gramEnd"/>
      <w:r>
        <w:rPr>
          <w:rFonts w:ascii="Source Sans Pro" w:eastAsia="Times New Roman" w:hAnsi="Source Sans Pro" w:cs="Times New Roman"/>
          <w:color w:val="3A3A3A"/>
          <w:kern w:val="0"/>
          <w:sz w:val="23"/>
          <w:szCs w:val="23"/>
          <w:lang w:eastAsia="en-GB"/>
          <w14:ligatures w14:val="none"/>
        </w:rPr>
        <w:t xml:space="preserve"> and the latest edition of Symptoms in the Pharmacy. </w:t>
      </w:r>
    </w:p>
    <w:p w14:paraId="057D7B5E" w14:textId="77777777" w:rsidR="00062ED1" w:rsidRDefault="00062ED1"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7701A873" w14:textId="21B811A1" w:rsidR="00062ED1" w:rsidRPr="00062ED1" w:rsidRDefault="00062ED1" w:rsidP="00062ED1">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r w:rsidRPr="00062ED1">
        <w:rPr>
          <w:rFonts w:ascii="Source Sans Pro" w:eastAsia="Times New Roman" w:hAnsi="Source Sans Pro" w:cs="Times New Roman"/>
          <w:color w:val="3A3A3A"/>
          <w:kern w:val="0"/>
          <w:sz w:val="23"/>
          <w:szCs w:val="23"/>
          <w:lang w:eastAsia="en-GB"/>
          <w14:ligatures w14:val="none"/>
        </w:rPr>
        <w:t xml:space="preserve">RCP Generic medical record keeping standards - </w:t>
      </w:r>
      <w:hyperlink r:id="rId20" w:history="1">
        <w:r w:rsidRPr="00062ED1">
          <w:rPr>
            <w:rStyle w:val="Hyperlink"/>
            <w:rFonts w:ascii="Source Sans Pro" w:eastAsia="Times New Roman" w:hAnsi="Source Sans Pro" w:cs="Times New Roman"/>
            <w:kern w:val="0"/>
            <w:sz w:val="23"/>
            <w:szCs w:val="23"/>
            <w:lang w:eastAsia="en-GB"/>
            <w14:ligatures w14:val="none"/>
          </w:rPr>
          <w:t>https://www.rcplondon.ac.uk/projects/outputs/generic-medical-record-keeping-standards</w:t>
        </w:r>
      </w:hyperlink>
      <w:r>
        <w:rPr>
          <w:rFonts w:ascii="Source Sans Pro" w:eastAsia="Times New Roman" w:hAnsi="Source Sans Pro" w:cs="Times New Roman"/>
          <w:color w:val="3A3A3A"/>
          <w:kern w:val="0"/>
          <w:sz w:val="23"/>
          <w:szCs w:val="23"/>
          <w:lang w:eastAsia="en-GB"/>
          <w14:ligatures w14:val="none"/>
        </w:rPr>
        <w:t xml:space="preserve"> </w:t>
      </w:r>
      <w:r w:rsidRPr="00062ED1">
        <w:rPr>
          <w:rFonts w:ascii="Source Sans Pro" w:eastAsia="Times New Roman" w:hAnsi="Source Sans Pro" w:cs="Times New Roman"/>
          <w:color w:val="3A3A3A"/>
          <w:kern w:val="0"/>
          <w:sz w:val="23"/>
          <w:szCs w:val="23"/>
          <w:lang w:eastAsia="en-GB"/>
          <w14:ligatures w14:val="none"/>
        </w:rPr>
        <w:t xml:space="preserve"> </w:t>
      </w:r>
    </w:p>
    <w:p w14:paraId="234E1804" w14:textId="77777777" w:rsidR="00062ED1" w:rsidRDefault="00062ED1" w:rsidP="00062ED1">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15A845DB" w14:textId="2B466DFF" w:rsidR="00062ED1" w:rsidRPr="00062ED1" w:rsidRDefault="00062ED1" w:rsidP="00062ED1">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roofErr w:type="spellStart"/>
      <w:r w:rsidRPr="00062ED1">
        <w:rPr>
          <w:rFonts w:ascii="Source Sans Pro" w:eastAsia="Times New Roman" w:hAnsi="Source Sans Pro" w:cs="Times New Roman"/>
          <w:color w:val="3A3A3A"/>
          <w:kern w:val="0"/>
          <w:sz w:val="23"/>
          <w:szCs w:val="23"/>
          <w:lang w:eastAsia="en-GB"/>
          <w14:ligatures w14:val="none"/>
        </w:rPr>
        <w:t>Geekymedics</w:t>
      </w:r>
      <w:proofErr w:type="spellEnd"/>
      <w:r w:rsidRPr="00062ED1">
        <w:rPr>
          <w:rFonts w:ascii="Source Sans Pro" w:eastAsia="Times New Roman" w:hAnsi="Source Sans Pro" w:cs="Times New Roman"/>
          <w:color w:val="3A3A3A"/>
          <w:kern w:val="0"/>
          <w:sz w:val="23"/>
          <w:szCs w:val="23"/>
          <w:lang w:eastAsia="en-GB"/>
          <w14:ligatures w14:val="none"/>
        </w:rPr>
        <w:t xml:space="preserve"> clerking 101 - </w:t>
      </w:r>
      <w:hyperlink r:id="rId21" w:history="1">
        <w:r w:rsidRPr="00062ED1">
          <w:rPr>
            <w:rStyle w:val="Hyperlink"/>
            <w:rFonts w:ascii="Source Sans Pro" w:eastAsia="Times New Roman" w:hAnsi="Source Sans Pro" w:cs="Times New Roman"/>
            <w:kern w:val="0"/>
            <w:sz w:val="23"/>
            <w:szCs w:val="23"/>
            <w:lang w:eastAsia="en-GB"/>
            <w14:ligatures w14:val="none"/>
          </w:rPr>
          <w:t>https://geekymedics.com/clerking-101/</w:t>
        </w:r>
      </w:hyperlink>
      <w:r>
        <w:rPr>
          <w:rFonts w:ascii="Source Sans Pro" w:eastAsia="Times New Roman" w:hAnsi="Source Sans Pro" w:cs="Times New Roman"/>
          <w:color w:val="3A3A3A"/>
          <w:kern w:val="0"/>
          <w:sz w:val="23"/>
          <w:szCs w:val="23"/>
          <w:lang w:eastAsia="en-GB"/>
          <w14:ligatures w14:val="none"/>
        </w:rPr>
        <w:t xml:space="preserve"> </w:t>
      </w:r>
      <w:r w:rsidRPr="00062ED1">
        <w:rPr>
          <w:rFonts w:ascii="Source Sans Pro" w:eastAsia="Times New Roman" w:hAnsi="Source Sans Pro" w:cs="Times New Roman"/>
          <w:color w:val="3A3A3A"/>
          <w:kern w:val="0"/>
          <w:sz w:val="23"/>
          <w:szCs w:val="23"/>
          <w:lang w:eastAsia="en-GB"/>
          <w14:ligatures w14:val="none"/>
        </w:rPr>
        <w:t xml:space="preserve"> </w:t>
      </w:r>
    </w:p>
    <w:p w14:paraId="33B44956" w14:textId="77777777" w:rsidR="00062ED1" w:rsidRDefault="00062ED1" w:rsidP="00062ED1">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p w14:paraId="28BF24A2" w14:textId="1E29FC59" w:rsidR="00062ED1" w:rsidRDefault="00062ED1" w:rsidP="00062ED1">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r w:rsidRPr="00062ED1">
        <w:rPr>
          <w:rFonts w:ascii="Source Sans Pro" w:eastAsia="Times New Roman" w:hAnsi="Source Sans Pro" w:cs="Times New Roman"/>
          <w:color w:val="3A3A3A"/>
          <w:kern w:val="0"/>
          <w:sz w:val="23"/>
          <w:szCs w:val="23"/>
          <w:lang w:eastAsia="en-GB"/>
          <w14:ligatures w14:val="none"/>
        </w:rPr>
        <w:t xml:space="preserve">PRSB Standards for the Structure and Content of Health and Care Records (Long Reference Doc) </w:t>
      </w:r>
      <w:hyperlink r:id="rId22" w:history="1">
        <w:r w:rsidRPr="008D0DD2">
          <w:rPr>
            <w:rStyle w:val="Hyperlink"/>
            <w:rFonts w:ascii="Source Sans Pro" w:eastAsia="Times New Roman" w:hAnsi="Source Sans Pro" w:cs="Times New Roman"/>
            <w:kern w:val="0"/>
            <w:sz w:val="23"/>
            <w:szCs w:val="23"/>
            <w:lang w:eastAsia="en-GB"/>
            <w14:ligatures w14:val="none"/>
          </w:rPr>
          <w:t>https://www.rcplondon.ac.uk/projects/outputs/standards-clinical-structure-and-content-patient-records</w:t>
        </w:r>
      </w:hyperlink>
      <w:r>
        <w:rPr>
          <w:rFonts w:ascii="Source Sans Pro" w:eastAsia="Times New Roman" w:hAnsi="Source Sans Pro" w:cs="Times New Roman"/>
          <w:color w:val="3A3A3A"/>
          <w:kern w:val="0"/>
          <w:sz w:val="23"/>
          <w:szCs w:val="23"/>
          <w:lang w:eastAsia="en-GB"/>
          <w14:ligatures w14:val="none"/>
        </w:rPr>
        <w:t xml:space="preserve"> </w:t>
      </w:r>
    </w:p>
    <w:p w14:paraId="26E981FF" w14:textId="77777777" w:rsidR="00062ED1" w:rsidRPr="003113EC" w:rsidRDefault="00062ED1" w:rsidP="003113EC">
      <w:pPr>
        <w:shd w:val="clear" w:color="auto" w:fill="FFFFFF"/>
        <w:spacing w:after="0" w:line="240" w:lineRule="auto"/>
        <w:rPr>
          <w:rFonts w:ascii="Source Sans Pro" w:eastAsia="Times New Roman" w:hAnsi="Source Sans Pro" w:cs="Times New Roman"/>
          <w:color w:val="3A3A3A"/>
          <w:kern w:val="0"/>
          <w:sz w:val="23"/>
          <w:szCs w:val="23"/>
          <w:lang w:eastAsia="en-GB"/>
          <w14:ligatures w14:val="none"/>
        </w:rPr>
      </w:pPr>
    </w:p>
    <w:sectPr w:rsidR="00062ED1" w:rsidRPr="003113EC" w:rsidSect="002D4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E92A" w14:textId="77777777" w:rsidR="002D4E7C" w:rsidRDefault="002D4E7C" w:rsidP="00FE56CA">
      <w:pPr>
        <w:spacing w:after="0" w:line="240" w:lineRule="auto"/>
      </w:pPr>
      <w:r>
        <w:separator/>
      </w:r>
    </w:p>
  </w:endnote>
  <w:endnote w:type="continuationSeparator" w:id="0">
    <w:p w14:paraId="3B37CC5C" w14:textId="77777777" w:rsidR="002D4E7C" w:rsidRDefault="002D4E7C" w:rsidP="00FE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D9B4" w14:textId="563CD968" w:rsidR="00062ED1" w:rsidRDefault="00062ED1">
    <w:pPr>
      <w:pStyle w:val="Footer"/>
    </w:pPr>
    <w:r>
      <w:t>Community Pharmacy Devon, Tom Kallis,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A237" w14:textId="77777777" w:rsidR="002D4E7C" w:rsidRDefault="002D4E7C" w:rsidP="00FE56CA">
      <w:pPr>
        <w:spacing w:after="0" w:line="240" w:lineRule="auto"/>
      </w:pPr>
      <w:r>
        <w:separator/>
      </w:r>
    </w:p>
  </w:footnote>
  <w:footnote w:type="continuationSeparator" w:id="0">
    <w:p w14:paraId="1D69141E" w14:textId="77777777" w:rsidR="002D4E7C" w:rsidRDefault="002D4E7C" w:rsidP="00FE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261"/>
    <w:multiLevelType w:val="hybridMultilevel"/>
    <w:tmpl w:val="74045B3E"/>
    <w:lvl w:ilvl="0" w:tplc="EEF02E0E">
      <w:start w:val="1"/>
      <w:numFmt w:val="bullet"/>
      <w:lvlText w:val="•"/>
      <w:lvlJc w:val="left"/>
      <w:pPr>
        <w:tabs>
          <w:tab w:val="num" w:pos="720"/>
        </w:tabs>
        <w:ind w:left="720" w:hanging="360"/>
      </w:pPr>
      <w:rPr>
        <w:rFonts w:ascii="Times New Roman" w:hAnsi="Times New Roman" w:hint="default"/>
      </w:rPr>
    </w:lvl>
    <w:lvl w:ilvl="1" w:tplc="3CAE4DC6" w:tentative="1">
      <w:start w:val="1"/>
      <w:numFmt w:val="bullet"/>
      <w:lvlText w:val="•"/>
      <w:lvlJc w:val="left"/>
      <w:pPr>
        <w:tabs>
          <w:tab w:val="num" w:pos="1440"/>
        </w:tabs>
        <w:ind w:left="1440" w:hanging="360"/>
      </w:pPr>
      <w:rPr>
        <w:rFonts w:ascii="Times New Roman" w:hAnsi="Times New Roman" w:hint="default"/>
      </w:rPr>
    </w:lvl>
    <w:lvl w:ilvl="2" w:tplc="08E803F6" w:tentative="1">
      <w:start w:val="1"/>
      <w:numFmt w:val="bullet"/>
      <w:lvlText w:val="•"/>
      <w:lvlJc w:val="left"/>
      <w:pPr>
        <w:tabs>
          <w:tab w:val="num" w:pos="2160"/>
        </w:tabs>
        <w:ind w:left="2160" w:hanging="360"/>
      </w:pPr>
      <w:rPr>
        <w:rFonts w:ascii="Times New Roman" w:hAnsi="Times New Roman" w:hint="default"/>
      </w:rPr>
    </w:lvl>
    <w:lvl w:ilvl="3" w:tplc="55A878F2" w:tentative="1">
      <w:start w:val="1"/>
      <w:numFmt w:val="bullet"/>
      <w:lvlText w:val="•"/>
      <w:lvlJc w:val="left"/>
      <w:pPr>
        <w:tabs>
          <w:tab w:val="num" w:pos="2880"/>
        </w:tabs>
        <w:ind w:left="2880" w:hanging="360"/>
      </w:pPr>
      <w:rPr>
        <w:rFonts w:ascii="Times New Roman" w:hAnsi="Times New Roman" w:hint="default"/>
      </w:rPr>
    </w:lvl>
    <w:lvl w:ilvl="4" w:tplc="41C81A60" w:tentative="1">
      <w:start w:val="1"/>
      <w:numFmt w:val="bullet"/>
      <w:lvlText w:val="•"/>
      <w:lvlJc w:val="left"/>
      <w:pPr>
        <w:tabs>
          <w:tab w:val="num" w:pos="3600"/>
        </w:tabs>
        <w:ind w:left="3600" w:hanging="360"/>
      </w:pPr>
      <w:rPr>
        <w:rFonts w:ascii="Times New Roman" w:hAnsi="Times New Roman" w:hint="default"/>
      </w:rPr>
    </w:lvl>
    <w:lvl w:ilvl="5" w:tplc="56743426" w:tentative="1">
      <w:start w:val="1"/>
      <w:numFmt w:val="bullet"/>
      <w:lvlText w:val="•"/>
      <w:lvlJc w:val="left"/>
      <w:pPr>
        <w:tabs>
          <w:tab w:val="num" w:pos="4320"/>
        </w:tabs>
        <w:ind w:left="4320" w:hanging="360"/>
      </w:pPr>
      <w:rPr>
        <w:rFonts w:ascii="Times New Roman" w:hAnsi="Times New Roman" w:hint="default"/>
      </w:rPr>
    </w:lvl>
    <w:lvl w:ilvl="6" w:tplc="E1BC8B6A" w:tentative="1">
      <w:start w:val="1"/>
      <w:numFmt w:val="bullet"/>
      <w:lvlText w:val="•"/>
      <w:lvlJc w:val="left"/>
      <w:pPr>
        <w:tabs>
          <w:tab w:val="num" w:pos="5040"/>
        </w:tabs>
        <w:ind w:left="5040" w:hanging="360"/>
      </w:pPr>
      <w:rPr>
        <w:rFonts w:ascii="Times New Roman" w:hAnsi="Times New Roman" w:hint="default"/>
      </w:rPr>
    </w:lvl>
    <w:lvl w:ilvl="7" w:tplc="EE10895C" w:tentative="1">
      <w:start w:val="1"/>
      <w:numFmt w:val="bullet"/>
      <w:lvlText w:val="•"/>
      <w:lvlJc w:val="left"/>
      <w:pPr>
        <w:tabs>
          <w:tab w:val="num" w:pos="5760"/>
        </w:tabs>
        <w:ind w:left="5760" w:hanging="360"/>
      </w:pPr>
      <w:rPr>
        <w:rFonts w:ascii="Times New Roman" w:hAnsi="Times New Roman" w:hint="default"/>
      </w:rPr>
    </w:lvl>
    <w:lvl w:ilvl="8" w:tplc="15F834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4944D1"/>
    <w:multiLevelType w:val="hybridMultilevel"/>
    <w:tmpl w:val="81369294"/>
    <w:lvl w:ilvl="0" w:tplc="B9C8C0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44B64"/>
    <w:multiLevelType w:val="hybridMultilevel"/>
    <w:tmpl w:val="0F383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003F2"/>
    <w:multiLevelType w:val="hybridMultilevel"/>
    <w:tmpl w:val="51384C98"/>
    <w:lvl w:ilvl="0" w:tplc="7AB60BF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97CA5"/>
    <w:multiLevelType w:val="hybridMultilevel"/>
    <w:tmpl w:val="B6CE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21852">
    <w:abstractNumId w:val="0"/>
  </w:num>
  <w:num w:numId="2" w16cid:durableId="1331907931">
    <w:abstractNumId w:val="1"/>
  </w:num>
  <w:num w:numId="3" w16cid:durableId="658465384">
    <w:abstractNumId w:val="2"/>
  </w:num>
  <w:num w:numId="4" w16cid:durableId="273710840">
    <w:abstractNumId w:val="3"/>
  </w:num>
  <w:num w:numId="5" w16cid:durableId="542791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CA"/>
    <w:rsid w:val="00035FCD"/>
    <w:rsid w:val="00062ED1"/>
    <w:rsid w:val="001B7211"/>
    <w:rsid w:val="002D4E7C"/>
    <w:rsid w:val="003113EC"/>
    <w:rsid w:val="0037022A"/>
    <w:rsid w:val="003A1ED7"/>
    <w:rsid w:val="003F48A6"/>
    <w:rsid w:val="005E721A"/>
    <w:rsid w:val="006225AC"/>
    <w:rsid w:val="008C5AC0"/>
    <w:rsid w:val="009300F1"/>
    <w:rsid w:val="00B00965"/>
    <w:rsid w:val="00FE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53AE"/>
  <w15:chartTrackingRefBased/>
  <w15:docId w15:val="{F51ACF7D-15EA-4DFE-9003-274E52E3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6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6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56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56CA"/>
    <w:pPr>
      <w:ind w:left="720"/>
      <w:contextualSpacing/>
    </w:pPr>
  </w:style>
  <w:style w:type="paragraph" w:styleId="EndnoteText">
    <w:name w:val="endnote text"/>
    <w:basedOn w:val="Normal"/>
    <w:link w:val="EndnoteTextChar"/>
    <w:uiPriority w:val="99"/>
    <w:unhideWhenUsed/>
    <w:rsid w:val="00FE56CA"/>
    <w:pPr>
      <w:spacing w:after="0" w:line="240" w:lineRule="auto"/>
    </w:pPr>
    <w:rPr>
      <w:sz w:val="20"/>
      <w:szCs w:val="20"/>
    </w:rPr>
  </w:style>
  <w:style w:type="character" w:customStyle="1" w:styleId="EndnoteTextChar">
    <w:name w:val="Endnote Text Char"/>
    <w:basedOn w:val="DefaultParagraphFont"/>
    <w:link w:val="EndnoteText"/>
    <w:uiPriority w:val="99"/>
    <w:rsid w:val="00FE56CA"/>
    <w:rPr>
      <w:sz w:val="20"/>
      <w:szCs w:val="20"/>
    </w:rPr>
  </w:style>
  <w:style w:type="character" w:styleId="EndnoteReference">
    <w:name w:val="endnote reference"/>
    <w:basedOn w:val="DefaultParagraphFont"/>
    <w:uiPriority w:val="99"/>
    <w:semiHidden/>
    <w:unhideWhenUsed/>
    <w:rsid w:val="00FE56CA"/>
    <w:rPr>
      <w:vertAlign w:val="superscript"/>
    </w:rPr>
  </w:style>
  <w:style w:type="character" w:styleId="Hyperlink">
    <w:name w:val="Hyperlink"/>
    <w:basedOn w:val="DefaultParagraphFont"/>
    <w:uiPriority w:val="99"/>
    <w:unhideWhenUsed/>
    <w:rsid w:val="00FE56CA"/>
    <w:rPr>
      <w:color w:val="0563C1" w:themeColor="hyperlink"/>
      <w:u w:val="single"/>
    </w:rPr>
  </w:style>
  <w:style w:type="character" w:styleId="UnresolvedMention">
    <w:name w:val="Unresolved Mention"/>
    <w:basedOn w:val="DefaultParagraphFont"/>
    <w:uiPriority w:val="99"/>
    <w:semiHidden/>
    <w:unhideWhenUsed/>
    <w:rsid w:val="00FE56CA"/>
    <w:rPr>
      <w:color w:val="605E5C"/>
      <w:shd w:val="clear" w:color="auto" w:fill="E1DFDD"/>
    </w:rPr>
  </w:style>
  <w:style w:type="paragraph" w:styleId="NormalWeb">
    <w:name w:val="Normal (Web)"/>
    <w:basedOn w:val="Normal"/>
    <w:uiPriority w:val="99"/>
    <w:semiHidden/>
    <w:unhideWhenUsed/>
    <w:rsid w:val="003F48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3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CD"/>
  </w:style>
  <w:style w:type="paragraph" w:styleId="Footer">
    <w:name w:val="footer"/>
    <w:basedOn w:val="Normal"/>
    <w:link w:val="FooterChar"/>
    <w:uiPriority w:val="99"/>
    <w:unhideWhenUsed/>
    <w:rsid w:val="0003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4399">
      <w:bodyDiv w:val="1"/>
      <w:marLeft w:val="0"/>
      <w:marRight w:val="0"/>
      <w:marTop w:val="0"/>
      <w:marBottom w:val="0"/>
      <w:divBdr>
        <w:top w:val="none" w:sz="0" w:space="0" w:color="auto"/>
        <w:left w:val="none" w:sz="0" w:space="0" w:color="auto"/>
        <w:bottom w:val="none" w:sz="0" w:space="0" w:color="auto"/>
        <w:right w:val="none" w:sz="0" w:space="0" w:color="auto"/>
      </w:divBdr>
    </w:div>
    <w:div w:id="389425599">
      <w:bodyDiv w:val="1"/>
      <w:marLeft w:val="0"/>
      <w:marRight w:val="0"/>
      <w:marTop w:val="0"/>
      <w:marBottom w:val="0"/>
      <w:divBdr>
        <w:top w:val="none" w:sz="0" w:space="0" w:color="auto"/>
        <w:left w:val="none" w:sz="0" w:space="0" w:color="auto"/>
        <w:bottom w:val="none" w:sz="0" w:space="0" w:color="auto"/>
        <w:right w:val="none" w:sz="0" w:space="0" w:color="auto"/>
      </w:divBdr>
    </w:div>
    <w:div w:id="631134268">
      <w:bodyDiv w:val="1"/>
      <w:marLeft w:val="0"/>
      <w:marRight w:val="0"/>
      <w:marTop w:val="0"/>
      <w:marBottom w:val="0"/>
      <w:divBdr>
        <w:top w:val="none" w:sz="0" w:space="0" w:color="auto"/>
        <w:left w:val="none" w:sz="0" w:space="0" w:color="auto"/>
        <w:bottom w:val="none" w:sz="0" w:space="0" w:color="auto"/>
        <w:right w:val="none" w:sz="0" w:space="0" w:color="auto"/>
      </w:divBdr>
    </w:div>
    <w:div w:id="840774080">
      <w:bodyDiv w:val="1"/>
      <w:marLeft w:val="0"/>
      <w:marRight w:val="0"/>
      <w:marTop w:val="0"/>
      <w:marBottom w:val="0"/>
      <w:divBdr>
        <w:top w:val="none" w:sz="0" w:space="0" w:color="auto"/>
        <w:left w:val="none" w:sz="0" w:space="0" w:color="auto"/>
        <w:bottom w:val="none" w:sz="0" w:space="0" w:color="auto"/>
        <w:right w:val="none" w:sz="0" w:space="0" w:color="auto"/>
      </w:divBdr>
    </w:div>
    <w:div w:id="896822880">
      <w:bodyDiv w:val="1"/>
      <w:marLeft w:val="0"/>
      <w:marRight w:val="0"/>
      <w:marTop w:val="0"/>
      <w:marBottom w:val="0"/>
      <w:divBdr>
        <w:top w:val="none" w:sz="0" w:space="0" w:color="auto"/>
        <w:left w:val="none" w:sz="0" w:space="0" w:color="auto"/>
        <w:bottom w:val="none" w:sz="0" w:space="0" w:color="auto"/>
        <w:right w:val="none" w:sz="0" w:space="0" w:color="auto"/>
      </w:divBdr>
      <w:divsChild>
        <w:div w:id="1354192323">
          <w:marLeft w:val="0"/>
          <w:marRight w:val="0"/>
          <w:marTop w:val="0"/>
          <w:marBottom w:val="0"/>
          <w:divBdr>
            <w:top w:val="none" w:sz="0" w:space="0" w:color="auto"/>
            <w:left w:val="none" w:sz="0" w:space="0" w:color="auto"/>
            <w:bottom w:val="none" w:sz="0" w:space="0" w:color="auto"/>
            <w:right w:val="none" w:sz="0" w:space="0" w:color="auto"/>
          </w:divBdr>
        </w:div>
      </w:divsChild>
    </w:div>
    <w:div w:id="1003699450">
      <w:bodyDiv w:val="1"/>
      <w:marLeft w:val="0"/>
      <w:marRight w:val="0"/>
      <w:marTop w:val="0"/>
      <w:marBottom w:val="0"/>
      <w:divBdr>
        <w:top w:val="none" w:sz="0" w:space="0" w:color="auto"/>
        <w:left w:val="none" w:sz="0" w:space="0" w:color="auto"/>
        <w:bottom w:val="none" w:sz="0" w:space="0" w:color="auto"/>
        <w:right w:val="none" w:sz="0" w:space="0" w:color="auto"/>
      </w:divBdr>
      <w:divsChild>
        <w:div w:id="545533727">
          <w:marLeft w:val="144"/>
          <w:marRight w:val="0"/>
          <w:marTop w:val="240"/>
          <w:marBottom w:val="40"/>
          <w:divBdr>
            <w:top w:val="none" w:sz="0" w:space="0" w:color="auto"/>
            <w:left w:val="none" w:sz="0" w:space="0" w:color="auto"/>
            <w:bottom w:val="none" w:sz="0" w:space="0" w:color="auto"/>
            <w:right w:val="none" w:sz="0" w:space="0" w:color="auto"/>
          </w:divBdr>
        </w:div>
      </w:divsChild>
    </w:div>
    <w:div w:id="1107966826">
      <w:bodyDiv w:val="1"/>
      <w:marLeft w:val="0"/>
      <w:marRight w:val="0"/>
      <w:marTop w:val="0"/>
      <w:marBottom w:val="0"/>
      <w:divBdr>
        <w:top w:val="none" w:sz="0" w:space="0" w:color="auto"/>
        <w:left w:val="none" w:sz="0" w:space="0" w:color="auto"/>
        <w:bottom w:val="none" w:sz="0" w:space="0" w:color="auto"/>
        <w:right w:val="none" w:sz="0" w:space="0" w:color="auto"/>
      </w:divBdr>
    </w:div>
    <w:div w:id="1428112065">
      <w:bodyDiv w:val="1"/>
      <w:marLeft w:val="0"/>
      <w:marRight w:val="0"/>
      <w:marTop w:val="0"/>
      <w:marBottom w:val="0"/>
      <w:divBdr>
        <w:top w:val="none" w:sz="0" w:space="0" w:color="auto"/>
        <w:left w:val="none" w:sz="0" w:space="0" w:color="auto"/>
        <w:bottom w:val="none" w:sz="0" w:space="0" w:color="auto"/>
        <w:right w:val="none" w:sz="0" w:space="0" w:color="auto"/>
      </w:divBdr>
    </w:div>
    <w:div w:id="1646466732">
      <w:bodyDiv w:val="1"/>
      <w:marLeft w:val="0"/>
      <w:marRight w:val="0"/>
      <w:marTop w:val="0"/>
      <w:marBottom w:val="0"/>
      <w:divBdr>
        <w:top w:val="none" w:sz="0" w:space="0" w:color="auto"/>
        <w:left w:val="none" w:sz="0" w:space="0" w:color="auto"/>
        <w:bottom w:val="none" w:sz="0" w:space="0" w:color="auto"/>
        <w:right w:val="none" w:sz="0" w:space="0" w:color="auto"/>
      </w:divBdr>
      <w:divsChild>
        <w:div w:id="1250850570">
          <w:marLeft w:val="0"/>
          <w:marRight w:val="0"/>
          <w:marTop w:val="0"/>
          <w:marBottom w:val="0"/>
          <w:divBdr>
            <w:top w:val="none" w:sz="0" w:space="0" w:color="auto"/>
            <w:left w:val="none" w:sz="0" w:space="0" w:color="auto"/>
            <w:bottom w:val="none" w:sz="0" w:space="0" w:color="auto"/>
            <w:right w:val="none" w:sz="0" w:space="0" w:color="auto"/>
          </w:divBdr>
          <w:divsChild>
            <w:div w:id="2101485499">
              <w:marLeft w:val="0"/>
              <w:marRight w:val="0"/>
              <w:marTop w:val="0"/>
              <w:marBottom w:val="0"/>
              <w:divBdr>
                <w:top w:val="none" w:sz="0" w:space="0" w:color="auto"/>
                <w:left w:val="none" w:sz="0" w:space="0" w:color="auto"/>
                <w:bottom w:val="none" w:sz="0" w:space="0" w:color="auto"/>
                <w:right w:val="none" w:sz="0" w:space="0" w:color="auto"/>
              </w:divBdr>
              <w:divsChild>
                <w:div w:id="2968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2672">
      <w:bodyDiv w:val="1"/>
      <w:marLeft w:val="0"/>
      <w:marRight w:val="0"/>
      <w:marTop w:val="0"/>
      <w:marBottom w:val="0"/>
      <w:divBdr>
        <w:top w:val="none" w:sz="0" w:space="0" w:color="auto"/>
        <w:left w:val="none" w:sz="0" w:space="0" w:color="auto"/>
        <w:bottom w:val="none" w:sz="0" w:space="0" w:color="auto"/>
        <w:right w:val="none" w:sz="0" w:space="0" w:color="auto"/>
      </w:divBdr>
      <w:divsChild>
        <w:div w:id="46531924">
          <w:marLeft w:val="547"/>
          <w:marRight w:val="0"/>
          <w:marTop w:val="0"/>
          <w:marBottom w:val="0"/>
          <w:divBdr>
            <w:top w:val="none" w:sz="0" w:space="0" w:color="auto"/>
            <w:left w:val="none" w:sz="0" w:space="0" w:color="auto"/>
            <w:bottom w:val="none" w:sz="0" w:space="0" w:color="auto"/>
            <w:right w:val="none" w:sz="0" w:space="0" w:color="auto"/>
          </w:divBdr>
        </w:div>
        <w:div w:id="229578863">
          <w:marLeft w:val="547"/>
          <w:marRight w:val="0"/>
          <w:marTop w:val="0"/>
          <w:marBottom w:val="0"/>
          <w:divBdr>
            <w:top w:val="none" w:sz="0" w:space="0" w:color="auto"/>
            <w:left w:val="none" w:sz="0" w:space="0" w:color="auto"/>
            <w:bottom w:val="none" w:sz="0" w:space="0" w:color="auto"/>
            <w:right w:val="none" w:sz="0" w:space="0" w:color="auto"/>
          </w:divBdr>
        </w:div>
        <w:div w:id="13676086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gps/gp-mythbusters/gp-mythbuster-12-accessing-medical-records-during-inspections" TargetMode="External"/><Relationship Id="rId13" Type="http://schemas.openxmlformats.org/officeDocument/2006/relationships/image" Target="media/image1.jpeg"/><Relationship Id="rId18" Type="http://schemas.openxmlformats.org/officeDocument/2006/relationships/hyperlink" Target="https://www.nhs.uk/nhs-app/nhs-app-help-and-support/health-records-in-the-nhs-app/abbreviations-commonly-found-in-medical-records/" TargetMode="External"/><Relationship Id="rId3" Type="http://schemas.openxmlformats.org/officeDocument/2006/relationships/styles" Target="styles.xml"/><Relationship Id="rId21" Type="http://schemas.openxmlformats.org/officeDocument/2006/relationships/hyperlink" Target="https://geekymedics.com/clerking-101/" TargetMode="External"/><Relationship Id="rId7" Type="http://schemas.openxmlformats.org/officeDocument/2006/relationships/endnotes" Target="endnotes.xml"/><Relationship Id="rId12" Type="http://schemas.openxmlformats.org/officeDocument/2006/relationships/hyperlink" Target="https://www.essentialgptrainingbook.com/wp-content/online-resources/04%20consultation%20models.pdf" TargetMode="External"/><Relationship Id="rId17" Type="http://schemas.openxmlformats.org/officeDocument/2006/relationships/hyperlink" Target="https://www.stthomasmedicalgroup.co.uk/wp-content/uploads/2015/05/Common-Abbreviations-1.pdf" TargetMode="External"/><Relationship Id="rId2" Type="http://schemas.openxmlformats.org/officeDocument/2006/relationships/numbering" Target="numbering.xml"/><Relationship Id="rId16" Type="http://schemas.openxmlformats.org/officeDocument/2006/relationships/hyperlink" Target="https://geekymedics.com/clerking-101/" TargetMode="External"/><Relationship Id="rId20" Type="http://schemas.openxmlformats.org/officeDocument/2006/relationships/hyperlink" Target="https://www.rcplondon.ac.uk/projects/outputs/generic-medical-record-keeping-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true.co.uk/news/importance-of-keeping-contemporaneous-medical-notes/" TargetMode="External"/><Relationship Id="rId19" Type="http://schemas.openxmlformats.org/officeDocument/2006/relationships/hyperlink" Target="https://www.ismp.org/resources/medical-abbreviations-have-contradictory-or-ambiguous-meanings" TargetMode="External"/><Relationship Id="rId4" Type="http://schemas.openxmlformats.org/officeDocument/2006/relationships/settings" Target="settings.xml"/><Relationship Id="rId9" Type="http://schemas.openxmlformats.org/officeDocument/2006/relationships/hyperlink" Target="https://www.the-pda.org/urgent-guidance-on-critical-incidents/" TargetMode="External"/><Relationship Id="rId14" Type="http://schemas.openxmlformats.org/officeDocument/2006/relationships/hyperlink" Target="https://www.bradfordvts.co.uk/communication-skills/teach-communication-skills/calgary-cambridge/" TargetMode="External"/><Relationship Id="rId22" Type="http://schemas.openxmlformats.org/officeDocument/2006/relationships/hyperlink" Target="https://www.rcplondon.ac.uk/projects/outputs/standards-clinical-structure-and-content-patient-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8C59-3380-4A21-9369-BA752C1F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11399</Characters>
  <Application>Microsoft Office Word</Application>
  <DocSecurity>4</DocSecurity>
  <Lines>94</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Note Taking Handout</vt:lpstr>
      <vt:lpstr>    </vt:lpstr>
      <vt:lpstr>    Background</vt:lpstr>
      <vt:lpstr>    Theory and Models</vt:lpstr>
      <vt:lpstr>    Note Taking Walkthrough </vt:lpstr>
      <vt:lpstr>    Appropriate abbreviations</vt:lpstr>
      <vt:lpstr>    Tips and Pitfalls</vt:lpstr>
      <vt:lpstr>Further Reading</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Kallis</dc:creator>
  <cp:keywords/>
  <dc:description/>
  <cp:lastModifiedBy>Kathryn Jones</cp:lastModifiedBy>
  <cp:revision>2</cp:revision>
  <dcterms:created xsi:type="dcterms:W3CDTF">2024-02-26T13:12:00Z</dcterms:created>
  <dcterms:modified xsi:type="dcterms:W3CDTF">2024-02-26T13:12:00Z</dcterms:modified>
</cp:coreProperties>
</file>