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7D88" w14:textId="144B5EA6" w:rsidR="00847E1E" w:rsidRPr="00B61630" w:rsidRDefault="00464951">
      <w:pPr>
        <w:rPr>
          <w:sz w:val="24"/>
          <w:szCs w:val="24"/>
          <w:u w:val="single"/>
        </w:rPr>
      </w:pPr>
      <w:r w:rsidRPr="00B61630">
        <w:rPr>
          <w:sz w:val="24"/>
          <w:szCs w:val="24"/>
          <w:u w:val="single"/>
        </w:rPr>
        <w:t>Community pharmacy</w:t>
      </w:r>
      <w:r w:rsidR="005D186C" w:rsidRPr="00B61630">
        <w:rPr>
          <w:sz w:val="24"/>
          <w:szCs w:val="24"/>
          <w:u w:val="single"/>
        </w:rPr>
        <w:t xml:space="preserve"> and primary care pharmacy team</w:t>
      </w:r>
      <w:r w:rsidRPr="00B61630">
        <w:rPr>
          <w:sz w:val="24"/>
          <w:szCs w:val="24"/>
          <w:u w:val="single"/>
        </w:rPr>
        <w:t xml:space="preserve"> newsletter – COVID early treatment</w:t>
      </w:r>
    </w:p>
    <w:p w14:paraId="581B2DE3" w14:textId="153510DE" w:rsidR="008F4A87" w:rsidRPr="00FD6B45" w:rsidRDefault="008F4A87">
      <w:pPr>
        <w:rPr>
          <w:b/>
          <w:bCs/>
        </w:rPr>
      </w:pPr>
      <w:r w:rsidRPr="00FD6B45">
        <w:rPr>
          <w:b/>
          <w:bCs/>
        </w:rPr>
        <w:t>Background</w:t>
      </w:r>
    </w:p>
    <w:p w14:paraId="6A1808A4" w14:textId="77777777" w:rsidR="005D186C" w:rsidRDefault="00E5568C">
      <w:r>
        <w:t>Groups of patients who would be eligible for treatment for COVID-19 infections is widening to include more medical conditions</w:t>
      </w:r>
      <w:r w:rsidR="00FD6B45">
        <w:t xml:space="preserve"> and age groups</w:t>
      </w:r>
      <w:r w:rsidR="005D186C">
        <w:t xml:space="preserve">: </w:t>
      </w:r>
    </w:p>
    <w:p w14:paraId="41F19818" w14:textId="70B55977" w:rsidR="005D186C" w:rsidRDefault="005D186C" w:rsidP="005D186C">
      <w:pPr>
        <w:pStyle w:val="ListParagraph"/>
        <w:numPr>
          <w:ilvl w:val="0"/>
          <w:numId w:val="1"/>
        </w:numPr>
      </w:pPr>
      <w:r>
        <w:t xml:space="preserve">People aged 85 or </w:t>
      </w:r>
      <w:r w:rsidR="001F7726">
        <w:t>over.</w:t>
      </w:r>
    </w:p>
    <w:p w14:paraId="79C13BAE" w14:textId="11F62D1C" w:rsidR="005D186C" w:rsidRDefault="005D186C" w:rsidP="005D186C">
      <w:pPr>
        <w:pStyle w:val="ListParagraph"/>
        <w:numPr>
          <w:ilvl w:val="0"/>
          <w:numId w:val="1"/>
        </w:numPr>
      </w:pPr>
      <w:r>
        <w:t xml:space="preserve">End-stage heart failure with a long-term ventricular assistance </w:t>
      </w:r>
      <w:r w:rsidR="001F7726">
        <w:t>device.</w:t>
      </w:r>
    </w:p>
    <w:p w14:paraId="1CDCD1DC" w14:textId="042DCA12" w:rsidR="005D186C" w:rsidRDefault="005D186C" w:rsidP="005D186C">
      <w:pPr>
        <w:pStyle w:val="ListParagraph"/>
        <w:numPr>
          <w:ilvl w:val="0"/>
          <w:numId w:val="1"/>
        </w:numPr>
      </w:pPr>
      <w:r>
        <w:t xml:space="preserve">People on the organ transplant waiting </w:t>
      </w:r>
      <w:r w:rsidR="001F7726">
        <w:t>list.</w:t>
      </w:r>
    </w:p>
    <w:p w14:paraId="3828A5B0" w14:textId="77777777" w:rsidR="005D186C" w:rsidRDefault="005D186C" w:rsidP="005D186C">
      <w:pPr>
        <w:pStyle w:val="ListParagraph"/>
        <w:numPr>
          <w:ilvl w:val="0"/>
          <w:numId w:val="1"/>
        </w:numPr>
      </w:pPr>
      <w:r>
        <w:t>People aged over 70 who have a BMI of &gt;35, diabetes or heart failure, patients in care homes)</w:t>
      </w:r>
      <w:r w:rsidR="00E5568C">
        <w:t>.</w:t>
      </w:r>
      <w:r w:rsidR="00FD6B45">
        <w:t xml:space="preserve"> </w:t>
      </w:r>
    </w:p>
    <w:p w14:paraId="58C44E6F" w14:textId="0A6912BA" w:rsidR="00FD6B45" w:rsidRDefault="00FD6B45" w:rsidP="005D186C">
      <w:r>
        <w:t>See below for NICE update letter:</w:t>
      </w:r>
    </w:p>
    <w:p w14:paraId="3CA0E2E5" w14:textId="775CDC81" w:rsidR="00FD6B45" w:rsidRDefault="001F7726" w:rsidP="00FD6B45">
      <w:hyperlink r:id="rId10" w:history="1">
        <w:r w:rsidR="00FD6B45">
          <w:rPr>
            <w:rStyle w:val="Hyperlink"/>
          </w:rPr>
          <w:t>1.4 million more people at risk of severe COVID-19 to have access to antiviral Paxlovid | News | News | NICE</w:t>
        </w:r>
      </w:hyperlink>
    </w:p>
    <w:p w14:paraId="4808E5B9" w14:textId="40E7D5FD" w:rsidR="00E5568C" w:rsidRPr="00FD6B45" w:rsidRDefault="00FD6B45">
      <w:pPr>
        <w:rPr>
          <w:b/>
          <w:bCs/>
        </w:rPr>
      </w:pPr>
      <w:r w:rsidRPr="00FD6B45">
        <w:rPr>
          <w:b/>
          <w:bCs/>
        </w:rPr>
        <w:t>Scope</w:t>
      </w:r>
    </w:p>
    <w:p w14:paraId="5E3B52C6" w14:textId="6BC6A95F" w:rsidR="0003149E" w:rsidRDefault="00FD6B45">
      <w:r>
        <w:t xml:space="preserve">Primary care providers </w:t>
      </w:r>
      <w:r w:rsidR="001F7726">
        <w:t>can</w:t>
      </w:r>
      <w:r>
        <w:t xml:space="preserve"> prescribe Paxlovid tablets for patients in the community who test positive for COVID-19 and are at risk of deterioration from the infection</w:t>
      </w:r>
      <w:r w:rsidR="0003149E">
        <w:t xml:space="preserve"> to enable early treatment </w:t>
      </w:r>
      <w:r w:rsidR="005D186C">
        <w:t>and</w:t>
      </w:r>
      <w:r w:rsidR="0003149E">
        <w:t xml:space="preserve"> avoid hospital admission</w:t>
      </w:r>
      <w:r>
        <w:t>.</w:t>
      </w:r>
      <w:r w:rsidR="0003149E">
        <w:t xml:space="preserve"> It has been classified as “Green” on the Devon Formulary which enables Primary care providers to prescribe this.</w:t>
      </w:r>
    </w:p>
    <w:p w14:paraId="40DF5A13" w14:textId="60FAF6A7" w:rsidR="0003149E" w:rsidRDefault="001F7726">
      <w:hyperlink r:id="rId11" w:history="1">
        <w:r w:rsidR="0003149E">
          <w:rPr>
            <w:rStyle w:val="Hyperlink"/>
          </w:rPr>
          <w:t>Community Access to Neutralising Monoclonal Antibodies (nMAB) and Oral Antivirals for Covid-19 Treatment - South &amp; West (devonformularyguidance.nhs.uk)</w:t>
        </w:r>
      </w:hyperlink>
    </w:p>
    <w:p w14:paraId="0D583C7F" w14:textId="5CEBDB4C" w:rsidR="00FD6B45" w:rsidRDefault="0003149E">
      <w:r>
        <w:t>Community pharmacies will be supplying Paxlovid tablets against a prescription issued by a GP/primary care prescriber.</w:t>
      </w:r>
      <w:r w:rsidR="00AB003D">
        <w:t xml:space="preserve"> Due to the tablets containing ritonavir as an adjuvant to increase the effectiveness of the active ingredient nirmatrelvir, there are </w:t>
      </w:r>
      <w:r w:rsidR="001F7726">
        <w:t>several</w:t>
      </w:r>
      <w:r w:rsidR="00AB003D">
        <w:t xml:space="preserve"> interactions that will concern the use of Paxlovid tablets with a patient’s regular medication. </w:t>
      </w:r>
    </w:p>
    <w:p w14:paraId="0F3128AE" w14:textId="0B8113C8" w:rsidR="0003149E" w:rsidRDefault="00AB003D">
      <w:r>
        <w:t>Ritonavir is an enzyme inhibitor of CYP3A4 and CYP2D6 together with P-</w:t>
      </w:r>
      <w:r w:rsidR="008843F4">
        <w:t>GP</w:t>
      </w:r>
      <w:r>
        <w:t xml:space="preserve"> inhibition. </w:t>
      </w:r>
      <w:r w:rsidR="00F27355">
        <w:t xml:space="preserve">It is anticipated that inhibition of these enzymes would increase concentration of co-prescribed medication. The Liverpool COVID-19 Interactions Checker and the </w:t>
      </w:r>
      <w:r w:rsidR="001F7726">
        <w:t>S</w:t>
      </w:r>
      <w:r w:rsidR="00F27355">
        <w:t>PCs of medicines (links below) would provide information on whether medicines interact and to what extent if the information is available.</w:t>
      </w:r>
    </w:p>
    <w:p w14:paraId="3D5E8D25" w14:textId="722AC556" w:rsidR="00D5667A" w:rsidRDefault="001F7726">
      <w:pPr>
        <w:rPr>
          <w:rStyle w:val="Hyperlink"/>
        </w:rPr>
      </w:pPr>
      <w:hyperlink r:id="rId12" w:history="1">
        <w:r w:rsidR="008F4A87">
          <w:rPr>
            <w:rStyle w:val="Hyperlink"/>
          </w:rPr>
          <w:t>Liverpool COVID-19 Interactions (covid19-druginteractions.org)</w:t>
        </w:r>
      </w:hyperlink>
    </w:p>
    <w:p w14:paraId="033BCC01" w14:textId="08732E18" w:rsidR="00F27355" w:rsidRDefault="00F27355">
      <w:r>
        <w:rPr>
          <w:noProof/>
        </w:rPr>
        <w:lastRenderedPageBreak/>
        <w:drawing>
          <wp:inline distT="0" distB="0" distL="0" distR="0" wp14:anchorId="3A731E45" wp14:editId="66E8B4F6">
            <wp:extent cx="5730875" cy="4040505"/>
            <wp:effectExtent l="0" t="0" r="3175" b="0"/>
            <wp:docPr id="4724207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646EF" w14:textId="51D215FE" w:rsidR="00F27355" w:rsidRDefault="00F27355">
      <w:r>
        <w:t xml:space="preserve">Type in “Ritonavir” on the </w:t>
      </w:r>
      <w:proofErr w:type="spellStart"/>
      <w:r>
        <w:t>lefter</w:t>
      </w:r>
      <w:proofErr w:type="spellEnd"/>
      <w:r>
        <w:t xml:space="preserve">-most section and select “Nirmatrelvir/Ritonavir (5 days)” and enter co-prescribed medication or OTC/supplements/herbal medicines in the middle section and select the medication needed. The interaction details will appear on the </w:t>
      </w:r>
      <w:r w:rsidR="00B61630">
        <w:t>right-hand</w:t>
      </w:r>
      <w:r>
        <w:t xml:space="preserve"> side. Interactions are categorised into Red, Amber, Yellow or Green interactions. Green interactions are considered insignificant so can be safely taken with Paxlovid. Yellow and Amber interactions are considered </w:t>
      </w:r>
      <w:r w:rsidR="001F7726">
        <w:t>significant but</w:t>
      </w:r>
      <w:r>
        <w:t xml:space="preserve"> can be managed. Click on the information under the interaction and </w:t>
      </w:r>
      <w:r w:rsidR="007D7320">
        <w:t>the checker will usually explain the extent of the interaction. Base your recommendation to the patient on this. This example below will put the Amber interactions into context:</w:t>
      </w:r>
    </w:p>
    <w:p w14:paraId="4F8CB5C4" w14:textId="3FAD46C2" w:rsidR="007D7320" w:rsidRDefault="007D7320">
      <w:r>
        <w:rPr>
          <w:noProof/>
        </w:rPr>
        <w:lastRenderedPageBreak/>
        <w:drawing>
          <wp:inline distT="0" distB="0" distL="0" distR="0" wp14:anchorId="531ECB27" wp14:editId="48D21CF2">
            <wp:extent cx="5730875" cy="6634480"/>
            <wp:effectExtent l="0" t="0" r="3175" b="0"/>
            <wp:docPr id="19457735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6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66C8" w14:textId="18FCD81C" w:rsidR="007D7320" w:rsidRDefault="007D7320">
      <w:r>
        <w:t xml:space="preserve">Where able to safely withhold Atorvastatin, this can be done then restarting Atorvastatin 3 days following completion of Paxlovid is acceptable. The interaction check does suggest reducing the dose of atorvastatin if it is not possible to withhold atorvastatin. </w:t>
      </w:r>
    </w:p>
    <w:p w14:paraId="66B9FEA7" w14:textId="26BC72EF" w:rsidR="007D7320" w:rsidRDefault="007D7320">
      <w:r>
        <w:t xml:space="preserve">Sulfasalazine interacts with Paxlovid but there is suggestion to reduce dose by 50% if it is deemed necessary to continue treatment of sulfasalazine together with Paxlovid. </w:t>
      </w:r>
    </w:p>
    <w:p w14:paraId="4B6683FE" w14:textId="2C172444" w:rsidR="007D7320" w:rsidRDefault="007D7320">
      <w:r>
        <w:t>Use your professional judgment to decide on whether it is appropriate for patient to continue with regular medication while taking Paxlovid.</w:t>
      </w:r>
    </w:p>
    <w:p w14:paraId="0A3CC8F7" w14:textId="063C6376" w:rsidR="00B61630" w:rsidRDefault="00B61630">
      <w:r>
        <w:t xml:space="preserve">Red interactions are contraindicated. Use your professional judgment to decide whether the co-prescribed medication is required to be continued during the time of being prescribed Paxlovid. For </w:t>
      </w:r>
      <w:r>
        <w:lastRenderedPageBreak/>
        <w:t xml:space="preserve">example, simvastatin is a red interaction with Paxlovid, however simvastatin can be safely withheld for 8 days (5 days of Paxlovid course and 3 days following completion) so this interaction does not contraindicate the use of Paxlovid. </w:t>
      </w:r>
      <w:r w:rsidR="008843F4">
        <w:t xml:space="preserve">Likewise, domperidone is a red interaction. If, following a conversation with the patient and patient is amenable to withholding this for the </w:t>
      </w:r>
      <w:proofErr w:type="gramStart"/>
      <w:r w:rsidR="008843F4">
        <w:t>8 day</w:t>
      </w:r>
      <w:proofErr w:type="gramEnd"/>
      <w:r w:rsidR="008843F4">
        <w:t xml:space="preserve"> period then this does not contraindicate Paxlovid.</w:t>
      </w:r>
    </w:p>
    <w:p w14:paraId="74D192AC" w14:textId="6B17B7CA" w:rsidR="00B61630" w:rsidRDefault="00B61630">
      <w:r>
        <w:t xml:space="preserve">If the agent cannot be found in the Liverpool COVID Interaction Checker, check the </w:t>
      </w:r>
      <w:proofErr w:type="spellStart"/>
      <w:r>
        <w:t>sPC</w:t>
      </w:r>
      <w:proofErr w:type="spellEnd"/>
      <w:r>
        <w:t>:</w:t>
      </w:r>
    </w:p>
    <w:p w14:paraId="73D72CB1" w14:textId="4F489E22" w:rsidR="008F4A87" w:rsidRDefault="001F7726">
      <w:hyperlink r:id="rId15" w:history="1">
        <w:r w:rsidR="008F4A87">
          <w:rPr>
            <w:rStyle w:val="Hyperlink"/>
          </w:rPr>
          <w:t>Home - electronic medicines compendium (</w:t>
        </w:r>
        <w:proofErr w:type="spellStart"/>
        <w:r w:rsidR="008F4A87">
          <w:rPr>
            <w:rStyle w:val="Hyperlink"/>
          </w:rPr>
          <w:t>emc</w:t>
        </w:r>
        <w:proofErr w:type="spellEnd"/>
        <w:r w:rsidR="008F4A87">
          <w:rPr>
            <w:rStyle w:val="Hyperlink"/>
          </w:rPr>
          <w:t>)</w:t>
        </w:r>
      </w:hyperlink>
      <w:r w:rsidR="008F4A87">
        <w:t xml:space="preserve"> (login required)</w:t>
      </w:r>
    </w:p>
    <w:p w14:paraId="6923E10F" w14:textId="7289D2F4" w:rsidR="007D7320" w:rsidRDefault="007D7320">
      <w:r>
        <w:t xml:space="preserve">Check under 4.5 – Interactions and 5.2 – Pharmacokinetic properties to look for CYP3A4, CYP2D6 and P-GP effects of co-prescribed medication with Paxlovid to ensure safety of continuing such medication. </w:t>
      </w:r>
    </w:p>
    <w:p w14:paraId="1E7328EA" w14:textId="4821B0EE" w:rsidR="0003149E" w:rsidRPr="0003149E" w:rsidRDefault="0003149E">
      <w:pPr>
        <w:rPr>
          <w:b/>
          <w:bCs/>
        </w:rPr>
      </w:pPr>
      <w:r w:rsidRPr="0003149E">
        <w:rPr>
          <w:b/>
          <w:bCs/>
        </w:rPr>
        <w:t>Ordering stock</w:t>
      </w:r>
    </w:p>
    <w:p w14:paraId="00D5FE19" w14:textId="07F2C070" w:rsidR="0003149E" w:rsidRDefault="0003149E">
      <w:r>
        <w:t xml:space="preserve">Paxlovid tablets are available to be ordered from </w:t>
      </w:r>
      <w:r w:rsidR="00AB003D">
        <w:t>Alliance Healthcare</w:t>
      </w:r>
      <w:r>
        <w:t xml:space="preserve"> via the usual ordering channels. As the cost is currently funded by the government, it appears to be free on the website. </w:t>
      </w:r>
      <w:proofErr w:type="gramStart"/>
      <w:r>
        <w:t>So</w:t>
      </w:r>
      <w:proofErr w:type="gramEnd"/>
      <w:r>
        <w:t xml:space="preserve"> ordering Paxlovid tablets will not be at a cost.</w:t>
      </w:r>
    </w:p>
    <w:p w14:paraId="7B9C1364" w14:textId="0B601500" w:rsidR="00E5568C" w:rsidRDefault="00E5568C">
      <w:r>
        <w:rPr>
          <w:noProof/>
        </w:rPr>
        <w:drawing>
          <wp:inline distT="0" distB="0" distL="0" distR="0" wp14:anchorId="53AD35EC" wp14:editId="7C9F6E86">
            <wp:extent cx="5730875" cy="2498725"/>
            <wp:effectExtent l="0" t="0" r="3175" b="0"/>
            <wp:docPr id="13932408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C8CBD" w14:textId="4518A96E" w:rsidR="00B61630" w:rsidRDefault="00687B69">
      <w:pPr>
        <w:rPr>
          <w:b/>
          <w:bCs/>
        </w:rPr>
      </w:pPr>
      <w:r>
        <w:rPr>
          <w:b/>
          <w:bCs/>
        </w:rPr>
        <w:t>Dispensing Paxlovid tablets</w:t>
      </w:r>
    </w:p>
    <w:p w14:paraId="5BACFAFB" w14:textId="154DE2E6" w:rsidR="00687B69" w:rsidRDefault="00687B69">
      <w:r>
        <w:t>Dose of Paxlovid for patients with normal renal function (eGFR &gt;</w:t>
      </w:r>
      <w:r w:rsidR="007F4422">
        <w:t>6</w:t>
      </w:r>
      <w:r>
        <w:t>0) is 3 tablets twice a day (yellow side in the morning and blue side in the evening). In renally impaired patients the dose is 2 tablets twice a day (removing 1 nirmatrelvir tablet from each dose). Ensure each patient receives full box for the course and physically remove 2 nirmatrelvir tablets from each strip (1 from each side of strip) before supplying for patient and discard the tablets removed. See image below for what the strips look like.</w:t>
      </w:r>
    </w:p>
    <w:p w14:paraId="46F15DDF" w14:textId="33E268A4" w:rsidR="00687B69" w:rsidRPr="00687B69" w:rsidRDefault="00687B69">
      <w:r>
        <w:rPr>
          <w:noProof/>
        </w:rPr>
        <w:lastRenderedPageBreak/>
        <w:drawing>
          <wp:inline distT="0" distB="0" distL="0" distR="0" wp14:anchorId="04C15FF0" wp14:editId="6BADC46A">
            <wp:extent cx="4157891" cy="2769470"/>
            <wp:effectExtent l="0" t="0" r="0" b="0"/>
            <wp:docPr id="1347449334" name="Picture 1" descr="Pfizer's Covid-19 Pill Failed Study Testing Its Preventive Use - W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izer's Covid-19 Pill Failed Study Testing Its Preventive Use - WSJ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7" cy="277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379EF" w14:textId="3F0B4D42" w:rsidR="00687B69" w:rsidRDefault="00687B69">
      <w:r>
        <w:t xml:space="preserve">These tablets are quite large and cannot be broken prior to administration. If your patient cannot swallow solid forms of </w:t>
      </w:r>
      <w:proofErr w:type="gramStart"/>
      <w:r>
        <w:t>medicines</w:t>
      </w:r>
      <w:proofErr w:type="gramEnd"/>
      <w:r>
        <w:t xml:space="preserve"> then this is a contraindication. </w:t>
      </w:r>
    </w:p>
    <w:p w14:paraId="02F26C5D" w14:textId="5B76F1BA" w:rsidR="008843F4" w:rsidRPr="00687B69" w:rsidRDefault="008843F4">
      <w:r>
        <w:t xml:space="preserve">Treatment is best started within 5 days of symptom onset/testing positive for COVID – day 0 (whichever earlier). Treatment can be initiated on days 6 or 7 with reduced efficacy, but unlikely to be effective if started after day 7. If patients remain symptomatic after day 7 of COVID </w:t>
      </w:r>
      <w:proofErr w:type="gramStart"/>
      <w:r>
        <w:t>infection</w:t>
      </w:r>
      <w:proofErr w:type="gramEnd"/>
      <w:r>
        <w:t xml:space="preserve"> then they would need to be referred to their GP to be reviewed as they are unlikely to benefit from early treatment of COVID.</w:t>
      </w:r>
    </w:p>
    <w:p w14:paraId="573FFC95" w14:textId="696C9600" w:rsidR="0003149E" w:rsidRPr="00F1245E" w:rsidRDefault="00F1245E">
      <w:pPr>
        <w:rPr>
          <w:b/>
          <w:bCs/>
        </w:rPr>
      </w:pPr>
      <w:r w:rsidRPr="00F1245E">
        <w:rPr>
          <w:b/>
          <w:bCs/>
        </w:rPr>
        <w:t xml:space="preserve">Further questions/queries/medication supplied by secondary </w:t>
      </w:r>
      <w:proofErr w:type="gramStart"/>
      <w:r w:rsidRPr="00F1245E">
        <w:rPr>
          <w:b/>
          <w:bCs/>
        </w:rPr>
        <w:t>care</w:t>
      </w:r>
      <w:proofErr w:type="gramEnd"/>
    </w:p>
    <w:p w14:paraId="1A44F07A" w14:textId="7B0AD392" w:rsidR="00F1245E" w:rsidRDefault="00F1245E">
      <w:r>
        <w:t xml:space="preserve">Should </w:t>
      </w:r>
      <w:r w:rsidR="00705959">
        <w:t xml:space="preserve">you have further questions following checking the Liverpool Interaction Checker and the </w:t>
      </w:r>
      <w:proofErr w:type="spellStart"/>
      <w:r w:rsidR="00705959">
        <w:t>sPC</w:t>
      </w:r>
      <w:proofErr w:type="spellEnd"/>
      <w:r w:rsidR="00705959">
        <w:t xml:space="preserve">, please contact Medicines Information in Torbay Hospital on 01803655304 to ask a trained pharmacist to call you back for further advice and to obtain information specifically about medication prescribed in secondary care. </w:t>
      </w:r>
    </w:p>
    <w:p w14:paraId="371129CC" w14:textId="56616D19" w:rsidR="00687B69" w:rsidRDefault="00687B69">
      <w:r>
        <w:t xml:space="preserve">Should you think a patient is not suitable for having Paxlovid (impaired swallowing, interacting regular medicines warranting IV sotrovimab, severe hepatic impairment, etc.) please send email to CMDU in Torbay Hospital at </w:t>
      </w:r>
      <w:hyperlink r:id="rId18" w:history="1">
        <w:r w:rsidRPr="00B61012">
          <w:rPr>
            <w:rStyle w:val="Hyperlink"/>
            <w:rFonts w:ascii="Arial" w:hAnsi="Arial" w:cs="Arial"/>
            <w:shd w:val="clear" w:color="auto" w:fill="FFFFFF"/>
          </w:rPr>
          <w:t>tsdft.covidantiviraldeliveryunit@nhs.net</w:t>
        </w:r>
      </w:hyperlink>
      <w:r>
        <w:t xml:space="preserve"> to refer patient for review for alternative treatment choices. </w:t>
      </w:r>
    </w:p>
    <w:sectPr w:rsidR="00687B69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62DC" w14:textId="77777777" w:rsidR="00687B69" w:rsidRDefault="00687B69" w:rsidP="00687B69">
      <w:pPr>
        <w:spacing w:after="0" w:line="240" w:lineRule="auto"/>
      </w:pPr>
      <w:r>
        <w:separator/>
      </w:r>
    </w:p>
  </w:endnote>
  <w:endnote w:type="continuationSeparator" w:id="0">
    <w:p w14:paraId="6F23A4AD" w14:textId="77777777" w:rsidR="00687B69" w:rsidRDefault="00687B69" w:rsidP="0068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A292" w14:textId="77777777" w:rsidR="00687B69" w:rsidRDefault="00687B69" w:rsidP="00687B69">
      <w:pPr>
        <w:spacing w:after="0" w:line="240" w:lineRule="auto"/>
      </w:pPr>
      <w:r>
        <w:separator/>
      </w:r>
    </w:p>
  </w:footnote>
  <w:footnote w:type="continuationSeparator" w:id="0">
    <w:p w14:paraId="22499E80" w14:textId="77777777" w:rsidR="00687B69" w:rsidRDefault="00687B69" w:rsidP="0068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28C3" w14:textId="4B157CF9" w:rsidR="00687B69" w:rsidRDefault="00687B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683D7E" wp14:editId="440BC6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409950" cy="457538"/>
          <wp:effectExtent l="0" t="0" r="0" b="0"/>
          <wp:wrapNone/>
          <wp:docPr id="1" name="Picture 1" descr="C:\Users\watel99\AppData\Local\Microsoft\Windows\Temporary Internet Files\Content.Word\Torbay and South Devon NHS Foundation Trust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tel99\AppData\Local\Microsoft\Windows\Temporary Internet Files\Content.Word\Torbay and South Devon NHS Foundation Trust 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45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078"/>
    <w:multiLevelType w:val="hybridMultilevel"/>
    <w:tmpl w:val="66F4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1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51"/>
    <w:rsid w:val="0003149E"/>
    <w:rsid w:val="001F7726"/>
    <w:rsid w:val="00464951"/>
    <w:rsid w:val="005D186C"/>
    <w:rsid w:val="00687B69"/>
    <w:rsid w:val="00705959"/>
    <w:rsid w:val="007D7320"/>
    <w:rsid w:val="007F4422"/>
    <w:rsid w:val="00847E1E"/>
    <w:rsid w:val="008843F4"/>
    <w:rsid w:val="008F4A87"/>
    <w:rsid w:val="00AB003D"/>
    <w:rsid w:val="00B61630"/>
    <w:rsid w:val="00D5667A"/>
    <w:rsid w:val="00E5568C"/>
    <w:rsid w:val="00F1245E"/>
    <w:rsid w:val="00F27355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8CEE"/>
  <w15:chartTrackingRefBased/>
  <w15:docId w15:val="{43ACA906-69AF-402B-B664-B737E1F7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A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1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69"/>
  </w:style>
  <w:style w:type="paragraph" w:styleId="Footer">
    <w:name w:val="footer"/>
    <w:basedOn w:val="Normal"/>
    <w:link w:val="FooterChar"/>
    <w:uiPriority w:val="99"/>
    <w:unhideWhenUsed/>
    <w:rsid w:val="0068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69"/>
  </w:style>
  <w:style w:type="character" w:styleId="UnresolvedMention">
    <w:name w:val="Unresolved Mention"/>
    <w:basedOn w:val="DefaultParagraphFont"/>
    <w:uiPriority w:val="99"/>
    <w:semiHidden/>
    <w:unhideWhenUsed/>
    <w:rsid w:val="0068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mailto:tsdft.covidantiviraldeliveryunit@nhs.ne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ovid19-druginteractions.org/checker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uthwest.devonformularyguidance.nhs.uk/referral-guidance/covid-19/community-access-to-neutralising-monoclonal-antibodies-nmab-and-oral-antivirals-for-covid-19-treatme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edicines.org.uk/emc" TargetMode="External"/><Relationship Id="rId10" Type="http://schemas.openxmlformats.org/officeDocument/2006/relationships/hyperlink" Target="https://www.nice.org.uk/news/article/1-4-million-more-people-at-risk-of-severe-covid-19-to-have-access-to-antiviral-paxlovid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AD63CFB91D4ABFDF2CCF0F72ED03" ma:contentTypeVersion="8" ma:contentTypeDescription="Create a new document." ma:contentTypeScope="" ma:versionID="57f90f27d084e459f3e70301b5a6cde0">
  <xsd:schema xmlns:xsd="http://www.w3.org/2001/XMLSchema" xmlns:xs="http://www.w3.org/2001/XMLSchema" xmlns:p="http://schemas.microsoft.com/office/2006/metadata/properties" xmlns:ns3="2db3bbb9-a0d0-47d4-9906-af3396ff7262" xmlns:ns4="633a6f44-65ad-4542-83ba-bafa447a90e3" targetNamespace="http://schemas.microsoft.com/office/2006/metadata/properties" ma:root="true" ma:fieldsID="0ce04fc04b057f48092cd622fc6c737b" ns3:_="" ns4:_="">
    <xsd:import namespace="2db3bbb9-a0d0-47d4-9906-af3396ff7262"/>
    <xsd:import namespace="633a6f44-65ad-4542-83ba-bafa447a9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bbb9-a0d0-47d4-9906-af3396ff7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6f44-65ad-4542-83ba-bafa447a9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b3bbb9-a0d0-47d4-9906-af3396ff7262" xsi:nil="true"/>
  </documentManagement>
</p:properties>
</file>

<file path=customXml/itemProps1.xml><?xml version="1.0" encoding="utf-8"?>
<ds:datastoreItem xmlns:ds="http://schemas.openxmlformats.org/officeDocument/2006/customXml" ds:itemID="{861EF80C-DDCD-4424-8160-A362B9A55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3bbb9-a0d0-47d4-9906-af3396ff7262"/>
    <ds:schemaRef ds:uri="633a6f44-65ad-4542-83ba-bafa447a9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B1DEC-0569-44B7-9FB4-41BF84559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37ADE-6E74-4132-8477-EFE52F16E840}">
  <ds:schemaRefs>
    <ds:schemaRef ds:uri="http://schemas.microsoft.com/office/2006/metadata/properties"/>
    <ds:schemaRef ds:uri="633a6f44-65ad-4542-83ba-bafa447a90e3"/>
    <ds:schemaRef ds:uri="http://purl.org/dc/terms/"/>
    <ds:schemaRef ds:uri="http://purl.org/dc/dcmitype/"/>
    <ds:schemaRef ds:uri="2db3bbb9-a0d0-47d4-9906-af3396ff726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TSDFT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HiutungMandy YuHassan</dc:creator>
  <cp:keywords/>
  <dc:description/>
  <cp:lastModifiedBy>Kelly Holman</cp:lastModifiedBy>
  <cp:revision>2</cp:revision>
  <dcterms:created xsi:type="dcterms:W3CDTF">2024-02-16T14:00:00Z</dcterms:created>
  <dcterms:modified xsi:type="dcterms:W3CDTF">2024-02-16T14:00:00Z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0x01010042E8AD63CFB91D4ABFDF2CCF0F72ED03</vt:lpwstr>
  </property>
</Properties>
</file>