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B5FF" w14:textId="2B23CE1B" w:rsidR="002C712D" w:rsidRDefault="00DB16B3" w:rsidP="00DB16B3">
      <w:pPr>
        <w:pStyle w:val="Title"/>
        <w:tabs>
          <w:tab w:val="left" w:pos="2910"/>
        </w:tabs>
        <w:jc w:val="both"/>
      </w:pPr>
      <w:r>
        <w:tab/>
      </w:r>
    </w:p>
    <w:p w14:paraId="433DC051" w14:textId="77777777" w:rsidR="002C712D" w:rsidRDefault="002C712D" w:rsidP="0005714A">
      <w:pPr>
        <w:pStyle w:val="Title"/>
      </w:pPr>
    </w:p>
    <w:p w14:paraId="3307C49C" w14:textId="4708DFDE" w:rsidR="00A36EFF" w:rsidRDefault="0005714A" w:rsidP="0005714A">
      <w:pPr>
        <w:pStyle w:val="Title"/>
      </w:pPr>
      <w:r>
        <w:t xml:space="preserve">Nominate a colleague for the prestigious APTUK </w:t>
      </w:r>
      <w:r w:rsidRPr="0005714A">
        <w:t>Community Pharmacy Technician of the Year Award</w:t>
      </w:r>
    </w:p>
    <w:tbl>
      <w:tblPr>
        <w:tblW w:w="5000" w:type="pct"/>
        <w:tblCellMar>
          <w:left w:w="0" w:type="dxa"/>
          <w:right w:w="0" w:type="dxa"/>
        </w:tblCellMar>
        <w:tblLook w:val="04A0" w:firstRow="1" w:lastRow="0" w:firstColumn="1" w:lastColumn="0" w:noHBand="0" w:noVBand="1"/>
      </w:tblPr>
      <w:tblGrid>
        <w:gridCol w:w="9923"/>
      </w:tblGrid>
      <w:tr w:rsidR="0005714A" w14:paraId="76AA04C9" w14:textId="77777777" w:rsidTr="0005714A">
        <w:tc>
          <w:tcPr>
            <w:tcW w:w="0" w:type="auto"/>
            <w:shd w:val="clear" w:color="auto" w:fill="FFFFFF"/>
            <w:tcMar>
              <w:top w:w="0" w:type="dxa"/>
              <w:left w:w="375" w:type="dxa"/>
              <w:bottom w:w="0" w:type="dxa"/>
              <w:right w:w="375" w:type="dxa"/>
            </w:tcMar>
            <w:vAlign w:val="center"/>
            <w:hideMark/>
          </w:tcPr>
          <w:p w14:paraId="4C6D1538" w14:textId="77777777"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The APTUK Annual Conference Awards celebrate and acknowledge successful individuals, </w:t>
            </w:r>
            <w:proofErr w:type="gramStart"/>
            <w:r>
              <w:rPr>
                <w:rFonts w:ascii="Calibri" w:hAnsi="Calibri" w:cs="Calibri"/>
                <w:color w:val="000000"/>
                <w:sz w:val="21"/>
                <w:szCs w:val="21"/>
              </w:rPr>
              <w:t>teams</w:t>
            </w:r>
            <w:proofErr w:type="gramEnd"/>
            <w:r>
              <w:rPr>
                <w:rFonts w:ascii="Calibri" w:hAnsi="Calibri" w:cs="Calibri"/>
                <w:color w:val="000000"/>
                <w:sz w:val="21"/>
                <w:szCs w:val="21"/>
              </w:rPr>
              <w:t xml:space="preserve"> and projects within the pharmacy technician profession. </w:t>
            </w:r>
          </w:p>
          <w:p w14:paraId="1A24C410" w14:textId="77777777" w:rsidR="00DB16B3" w:rsidRDefault="00DB16B3" w:rsidP="00DB16B3">
            <w:pPr>
              <w:spacing w:before="100" w:beforeAutospacing="1" w:after="100" w:afterAutospacing="1" w:line="330" w:lineRule="exact"/>
              <w:jc w:val="left"/>
              <w:rPr>
                <w:rFonts w:ascii="Calibri" w:eastAsia="Times New Roman" w:hAnsi="Calibri" w:cs="Calibri"/>
                <w:color w:val="000000"/>
                <w:sz w:val="21"/>
                <w:szCs w:val="21"/>
              </w:rPr>
            </w:pPr>
            <w:r w:rsidRPr="00DB16B3">
              <w:rPr>
                <w:rFonts w:ascii="Calibri" w:eastAsia="Times New Roman" w:hAnsi="Calibri" w:cs="Calibri"/>
                <w:b/>
                <w:bCs/>
                <w:color w:val="0070C0" w:themeColor="accent1"/>
                <w:sz w:val="21"/>
                <w:szCs w:val="21"/>
              </w:rPr>
              <w:t>The APTUK Community Pharmacy Technician of the Year Award</w:t>
            </w:r>
            <w:r w:rsidRPr="00DB16B3">
              <w:rPr>
                <w:rFonts w:ascii="Calibri" w:eastAsia="Times New Roman" w:hAnsi="Calibri" w:cs="Calibri"/>
                <w:color w:val="0070C0" w:themeColor="accent1"/>
                <w:sz w:val="21"/>
                <w:szCs w:val="21"/>
              </w:rPr>
              <w:t xml:space="preserve"> </w:t>
            </w:r>
            <w:r>
              <w:rPr>
                <w:rFonts w:ascii="Calibri" w:eastAsia="Times New Roman" w:hAnsi="Calibri" w:cs="Calibri"/>
                <w:color w:val="000000"/>
                <w:sz w:val="21"/>
                <w:szCs w:val="21"/>
              </w:rPr>
              <w:t>recognises an outstanding pharmacy technician who has shown a significant contribution to pharmacy services and patients in a community pharmacy setting over the past 24 months.  </w:t>
            </w:r>
          </w:p>
          <w:p w14:paraId="2FC90DFD" w14:textId="080D188F" w:rsidR="00DB16B3" w:rsidRDefault="00DB16B3" w:rsidP="00DB16B3">
            <w:pPr>
              <w:pStyle w:val="text-build-content"/>
              <w:spacing w:before="150" w:after="150" w:line="330" w:lineRule="exact"/>
              <w:rPr>
                <w:rFonts w:ascii="Arial" w:hAnsi="Arial" w:cs="Arial"/>
                <w:color w:val="000000"/>
                <w:sz w:val="20"/>
                <w:szCs w:val="20"/>
              </w:rPr>
            </w:pPr>
            <w:r>
              <w:rPr>
                <w:rFonts w:ascii="Calibri" w:eastAsia="Times New Roman" w:hAnsi="Calibri" w:cs="Calibri"/>
                <w:color w:val="000000"/>
                <w:sz w:val="21"/>
                <w:szCs w:val="21"/>
              </w:rPr>
              <w:t>Nominations are open to members, and non-members of APTUK and w</w:t>
            </w:r>
            <w:r>
              <w:rPr>
                <w:rFonts w:ascii="Calibri" w:hAnsi="Calibri" w:cs="Calibri"/>
                <w:color w:val="000000"/>
                <w:sz w:val="21"/>
                <w:szCs w:val="21"/>
              </w:rPr>
              <w:t>e are delighted to be able to recognise all sectors of pharmacy practice and individual excellence through these awards which will be presented at the APTUK Conference and Awards Dinner on September 6th, 2024, at the Crowne Plaza Hotel in Nottingham. Prizes include an engraved trophy and an educational bursary towards attendance at the APTUK Annual Conference 2025.  </w:t>
            </w:r>
          </w:p>
          <w:p w14:paraId="63B535B2" w14:textId="1D29766E"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b/>
                <w:bCs/>
                <w:color w:val="000000"/>
                <w:sz w:val="21"/>
                <w:szCs w:val="21"/>
              </w:rPr>
              <w:t xml:space="preserve">To nominate for </w:t>
            </w:r>
            <w:r w:rsidR="00DB16B3">
              <w:rPr>
                <w:rFonts w:ascii="Calibri" w:hAnsi="Calibri" w:cs="Calibri"/>
                <w:b/>
                <w:bCs/>
                <w:color w:val="000000"/>
                <w:sz w:val="21"/>
                <w:szCs w:val="21"/>
              </w:rPr>
              <w:t>the APTUK Community Pharmacy Technician of the year</w:t>
            </w:r>
            <w:r>
              <w:rPr>
                <w:rFonts w:ascii="Calibri" w:hAnsi="Calibri" w:cs="Calibri"/>
                <w:b/>
                <w:bCs/>
                <w:color w:val="000000"/>
                <w:sz w:val="21"/>
                <w:szCs w:val="21"/>
              </w:rPr>
              <w:t xml:space="preserve"> award, simply click on the link below.</w:t>
            </w:r>
          </w:p>
          <w:p w14:paraId="39D9E16E" w14:textId="646DB1EE"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b/>
                <w:bCs/>
                <w:color w:val="000000"/>
                <w:sz w:val="21"/>
                <w:szCs w:val="21"/>
              </w:rPr>
              <w:t xml:space="preserve">Award nominations are open until </w:t>
            </w:r>
            <w:r w:rsidR="009609B6" w:rsidRPr="009609B6">
              <w:rPr>
                <w:rFonts w:ascii="Calibri" w:hAnsi="Calibri" w:cs="Calibri"/>
                <w:b/>
                <w:bCs/>
                <w:color w:val="000000"/>
                <w:sz w:val="21"/>
                <w:szCs w:val="21"/>
              </w:rPr>
              <w:t>Sunday 23rd June 2024.</w:t>
            </w:r>
          </w:p>
        </w:tc>
      </w:tr>
      <w:tr w:rsidR="0005714A" w14:paraId="7DAA1AD1" w14:textId="77777777" w:rsidTr="0005714A">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7637"/>
            </w:tblGrid>
            <w:tr w:rsidR="0005714A" w14:paraId="0BC24F5B" w14:textId="77777777">
              <w:trPr>
                <w:jc w:val="center"/>
              </w:trPr>
              <w:tc>
                <w:tcPr>
                  <w:tcW w:w="0" w:type="auto"/>
                  <w:shd w:val="clear" w:color="auto" w:fill="001489"/>
                  <w:tcMar>
                    <w:top w:w="150" w:type="dxa"/>
                    <w:left w:w="375" w:type="dxa"/>
                    <w:bottom w:w="150" w:type="dxa"/>
                    <w:right w:w="375" w:type="dxa"/>
                  </w:tcMar>
                  <w:vAlign w:val="center"/>
                  <w:hideMark/>
                </w:tcPr>
                <w:p w14:paraId="73868C53" w14:textId="11CEF37E" w:rsidR="0005714A" w:rsidRDefault="00BF01AE">
                  <w:pPr>
                    <w:jc w:val="center"/>
                    <w:rPr>
                      <w:rFonts w:ascii="Aptos" w:eastAsia="Times New Roman" w:hAnsi="Aptos" w:cs="Aptos"/>
                      <w:sz w:val="24"/>
                      <w:szCs w:val="24"/>
                    </w:rPr>
                  </w:pPr>
                  <w:hyperlink r:id="rId11" w:history="1">
                    <w:r w:rsidR="0005714A" w:rsidRPr="0005714A">
                      <w:rPr>
                        <w:rStyle w:val="Hyperlink"/>
                        <w:rFonts w:ascii="Arial" w:eastAsia="Times New Roman" w:hAnsi="Arial" w:cs="Arial"/>
                        <w:color w:val="FFFFFF" w:themeColor="background1"/>
                        <w:sz w:val="21"/>
                        <w:szCs w:val="21"/>
                        <w:shd w:val="clear" w:color="auto" w:fill="001489"/>
                      </w:rPr>
                      <w:t>Nominate for APTUK 2024 Community Pharmacy of the Year Award Now!</w:t>
                    </w:r>
                  </w:hyperlink>
                </w:p>
              </w:tc>
            </w:tr>
          </w:tbl>
          <w:p w14:paraId="386B0BA2" w14:textId="77777777" w:rsidR="0005714A" w:rsidRDefault="0005714A">
            <w:pPr>
              <w:jc w:val="center"/>
              <w:rPr>
                <w:rFonts w:ascii="Times New Roman" w:eastAsia="Times New Roman" w:hAnsi="Times New Roman" w:cs="Times New Roman"/>
                <w:sz w:val="20"/>
                <w:szCs w:val="20"/>
              </w:rPr>
            </w:pPr>
          </w:p>
        </w:tc>
      </w:tr>
      <w:tr w:rsidR="0005714A" w14:paraId="155489F4" w14:textId="77777777" w:rsidTr="0005714A">
        <w:tc>
          <w:tcPr>
            <w:tcW w:w="0" w:type="auto"/>
            <w:shd w:val="clear" w:color="auto" w:fill="FFFFFF"/>
            <w:tcMar>
              <w:top w:w="0" w:type="dxa"/>
              <w:left w:w="375" w:type="dxa"/>
              <w:bottom w:w="0" w:type="dxa"/>
              <w:right w:w="375" w:type="dxa"/>
            </w:tcMar>
            <w:vAlign w:val="center"/>
            <w:hideMark/>
          </w:tcPr>
          <w:p w14:paraId="4C3D847B" w14:textId="77777777" w:rsidR="00DB16B3" w:rsidRDefault="00DB16B3" w:rsidP="00DB16B3">
            <w:pPr>
              <w:spacing w:before="100" w:beforeAutospacing="1" w:after="100" w:afterAutospacing="1" w:line="330" w:lineRule="exact"/>
              <w:jc w:val="left"/>
              <w:rPr>
                <w:rFonts w:ascii="Arial" w:eastAsia="Times New Roman" w:hAnsi="Arial" w:cs="Arial"/>
                <w:color w:val="000000"/>
                <w:sz w:val="20"/>
                <w:szCs w:val="20"/>
              </w:rPr>
            </w:pPr>
            <w:r>
              <w:rPr>
                <w:rFonts w:ascii="Arial" w:eastAsia="Times New Roman" w:hAnsi="Arial" w:cs="Arial"/>
                <w:color w:val="000000"/>
                <w:sz w:val="20"/>
                <w:szCs w:val="20"/>
              </w:rPr>
              <w:t xml:space="preserve">Other award categories include: </w:t>
            </w:r>
          </w:p>
          <w:p w14:paraId="6F103F4B"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Pharmacy Technician Team of the Year Award</w:t>
            </w:r>
            <w:r>
              <w:rPr>
                <w:rFonts w:ascii="Calibri" w:eastAsia="Times New Roman" w:hAnsi="Calibri" w:cs="Calibri"/>
                <w:color w:val="000000"/>
                <w:sz w:val="21"/>
                <w:szCs w:val="21"/>
              </w:rPr>
              <w:t xml:space="preserve"> focuses on the pivotal role that outstanding teams of pharmacy technicians have on influencing positive person-centred patient care. This can be through innovation, service development or </w:t>
            </w:r>
            <w:proofErr w:type="gramStart"/>
            <w:r>
              <w:rPr>
                <w:rFonts w:ascii="Calibri" w:eastAsia="Times New Roman" w:hAnsi="Calibri" w:cs="Calibri"/>
                <w:color w:val="000000"/>
                <w:sz w:val="21"/>
                <w:szCs w:val="21"/>
              </w:rPr>
              <w:t>research</w:t>
            </w:r>
            <w:proofErr w:type="gramEnd"/>
          </w:p>
          <w:p w14:paraId="5D590D91"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Excellence in Pharmacy Education and Development Award</w:t>
            </w:r>
            <w:r>
              <w:rPr>
                <w:rFonts w:ascii="Calibri" w:eastAsia="Times New Roman" w:hAnsi="Calibri" w:cs="Calibri"/>
                <w:color w:val="000000"/>
                <w:sz w:val="21"/>
                <w:szCs w:val="21"/>
              </w:rPr>
              <w:t xml:space="preserve"> recognises an outstanding pharmacy technician, team or project that has made a significant contribution to education, training and development of pharmacy technicians or pharmacy teams in the UK.  </w:t>
            </w:r>
          </w:p>
          <w:p w14:paraId="3C6A4E1D"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Pre-registration Trainee Pharmacy Technician of the Year Award</w:t>
            </w:r>
            <w:r>
              <w:rPr>
                <w:rFonts w:ascii="Calibri" w:eastAsia="Times New Roman" w:hAnsi="Calibri" w:cs="Calibri"/>
                <w:color w:val="000000"/>
                <w:sz w:val="21"/>
                <w:szCs w:val="21"/>
              </w:rPr>
              <w:t xml:space="preserve"> acknowledges the commitment, </w:t>
            </w:r>
            <w:proofErr w:type="gramStart"/>
            <w:r>
              <w:rPr>
                <w:rFonts w:ascii="Calibri" w:eastAsia="Times New Roman" w:hAnsi="Calibri" w:cs="Calibri"/>
                <w:color w:val="000000"/>
                <w:sz w:val="21"/>
                <w:szCs w:val="21"/>
              </w:rPr>
              <w:t>dedication</w:t>
            </w:r>
            <w:proofErr w:type="gramEnd"/>
            <w:r>
              <w:rPr>
                <w:rFonts w:ascii="Calibri" w:eastAsia="Times New Roman" w:hAnsi="Calibri" w:cs="Calibri"/>
                <w:color w:val="000000"/>
                <w:sz w:val="21"/>
                <w:szCs w:val="21"/>
              </w:rPr>
              <w:t xml:space="preserve"> and achievement of Pre-Registration Trainee Pharmacy Technicians. The award will be made to a trainee who, in the opinion of the judges, demonstrates outstanding effort and commitment.  </w:t>
            </w:r>
          </w:p>
          <w:p w14:paraId="55439197"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 xml:space="preserve">The APTUK Primary Care Pharmacy Technician of the Year Award </w:t>
            </w:r>
            <w:r>
              <w:rPr>
                <w:rFonts w:ascii="Calibri" w:eastAsia="Times New Roman" w:hAnsi="Calibri" w:cs="Calibri"/>
                <w:color w:val="000000"/>
                <w:sz w:val="21"/>
                <w:szCs w:val="21"/>
              </w:rPr>
              <w:t>recognises an outstanding pharmacy technician who has shown a significant contribution to pharmacy services and patients in a primary care setting over the past 24 months.</w:t>
            </w:r>
          </w:p>
          <w:p w14:paraId="1C352CA4"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Secondary Care Pharmacy Technician of the Year Award</w:t>
            </w:r>
            <w:r>
              <w:rPr>
                <w:rFonts w:ascii="Calibri" w:eastAsia="Times New Roman" w:hAnsi="Calibri" w:cs="Calibri"/>
                <w:color w:val="000000"/>
                <w:sz w:val="21"/>
                <w:szCs w:val="21"/>
              </w:rPr>
              <w:t>. The judging panel are looking for an outstanding pharmacy technician that has made a significant contribution to pharmacy services and patients in a secondary care setting in the UK over the past 24 months.</w:t>
            </w:r>
          </w:p>
          <w:p w14:paraId="0147CEF7" w14:textId="78C52B94"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lastRenderedPageBreak/>
              <w:t xml:space="preserve">Full details of all the awards can also be found on our website: </w:t>
            </w:r>
            <w:hyperlink r:id="rId12" w:history="1">
              <w:r w:rsidRPr="00EB42F5">
                <w:rPr>
                  <w:rStyle w:val="Hyperlink"/>
                  <w:rFonts w:ascii="Calibri" w:hAnsi="Calibri" w:cs="Calibri"/>
                  <w:sz w:val="21"/>
                  <w:szCs w:val="21"/>
                </w:rPr>
                <w:t>www.aptuk.org</w:t>
              </w:r>
            </w:hyperlink>
          </w:p>
          <w:p w14:paraId="3ADB979F" w14:textId="5F79A94C"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If you would like to register to attend APTUK 2024 Conference and Awards Dinner, and benefit from a range of speakers and relevant topics for pharmacy technicians, then please click on the link below.</w:t>
            </w:r>
          </w:p>
        </w:tc>
      </w:tr>
      <w:tr w:rsidR="0005714A" w14:paraId="4D78DE17" w14:textId="77777777" w:rsidTr="0005714A">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3178"/>
            </w:tblGrid>
            <w:tr w:rsidR="0005714A" w14:paraId="2D9EBE09" w14:textId="77777777">
              <w:trPr>
                <w:jc w:val="center"/>
              </w:trPr>
              <w:tc>
                <w:tcPr>
                  <w:tcW w:w="0" w:type="auto"/>
                  <w:shd w:val="clear" w:color="auto" w:fill="0070C0"/>
                  <w:tcMar>
                    <w:top w:w="150" w:type="dxa"/>
                    <w:left w:w="375" w:type="dxa"/>
                    <w:bottom w:w="150" w:type="dxa"/>
                    <w:right w:w="375" w:type="dxa"/>
                  </w:tcMar>
                  <w:vAlign w:val="center"/>
                  <w:hideMark/>
                </w:tcPr>
                <w:p w14:paraId="673D16C0" w14:textId="77777777" w:rsidR="0005714A" w:rsidRDefault="00BF01AE">
                  <w:pPr>
                    <w:jc w:val="center"/>
                    <w:rPr>
                      <w:rFonts w:ascii="Aptos" w:eastAsia="Times New Roman" w:hAnsi="Aptos" w:cs="Aptos"/>
                      <w:sz w:val="24"/>
                      <w:szCs w:val="24"/>
                    </w:rPr>
                  </w:pPr>
                  <w:hyperlink r:id="rId13" w:tgtFrame="_blank" w:history="1">
                    <w:r w:rsidR="0005714A">
                      <w:rPr>
                        <w:rStyle w:val="Hyperlink"/>
                        <w:rFonts w:ascii="Arial" w:eastAsia="Times New Roman" w:hAnsi="Arial" w:cs="Arial"/>
                        <w:color w:val="FFFFFF"/>
                        <w:sz w:val="21"/>
                        <w:szCs w:val="21"/>
                        <w:shd w:val="clear" w:color="auto" w:fill="0070C0"/>
                      </w:rPr>
                      <w:t>Register for APTUK 2024 </w:t>
                    </w:r>
                  </w:hyperlink>
                </w:p>
              </w:tc>
            </w:tr>
          </w:tbl>
          <w:p w14:paraId="3DED2388" w14:textId="77777777" w:rsidR="0005714A" w:rsidRDefault="0005714A">
            <w:pPr>
              <w:jc w:val="center"/>
              <w:rPr>
                <w:rFonts w:ascii="Times New Roman" w:eastAsia="Times New Roman" w:hAnsi="Times New Roman" w:cs="Times New Roman"/>
                <w:sz w:val="20"/>
                <w:szCs w:val="20"/>
              </w:rPr>
            </w:pPr>
          </w:p>
        </w:tc>
      </w:tr>
      <w:tr w:rsidR="0005714A" w14:paraId="7D87E848" w14:textId="77777777" w:rsidTr="0005714A">
        <w:tc>
          <w:tcPr>
            <w:tcW w:w="0" w:type="auto"/>
            <w:shd w:val="clear" w:color="auto" w:fill="FFFFFF"/>
            <w:tcMar>
              <w:top w:w="0" w:type="dxa"/>
              <w:left w:w="375" w:type="dxa"/>
              <w:bottom w:w="0" w:type="dxa"/>
              <w:right w:w="375" w:type="dxa"/>
            </w:tcMar>
            <w:vAlign w:val="center"/>
            <w:hideMark/>
          </w:tcPr>
          <w:p w14:paraId="30ECEF59" w14:textId="0E42872A"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We </w:t>
            </w:r>
            <w:r w:rsidR="00DB16B3">
              <w:rPr>
                <w:rFonts w:ascii="Calibri" w:hAnsi="Calibri" w:cs="Calibri"/>
                <w:color w:val="000000"/>
                <w:sz w:val="21"/>
                <w:szCs w:val="21"/>
              </w:rPr>
              <w:t xml:space="preserve">hope </w:t>
            </w:r>
            <w:r>
              <w:rPr>
                <w:rFonts w:ascii="Calibri" w:hAnsi="Calibri" w:cs="Calibri"/>
                <w:color w:val="000000"/>
                <w:sz w:val="21"/>
                <w:szCs w:val="21"/>
              </w:rPr>
              <w:t>to see</w:t>
            </w:r>
            <w:r w:rsidR="00DB16B3">
              <w:rPr>
                <w:rFonts w:ascii="Calibri" w:hAnsi="Calibri" w:cs="Calibri"/>
                <w:color w:val="000000"/>
                <w:sz w:val="21"/>
                <w:szCs w:val="21"/>
              </w:rPr>
              <w:t xml:space="preserve"> </w:t>
            </w:r>
            <w:r>
              <w:rPr>
                <w:rFonts w:ascii="Calibri" w:hAnsi="Calibri" w:cs="Calibri"/>
                <w:color w:val="000000"/>
                <w:sz w:val="21"/>
                <w:szCs w:val="21"/>
              </w:rPr>
              <w:t>you there!</w:t>
            </w:r>
          </w:p>
          <w:p w14:paraId="0CA6FEC1" w14:textId="598AA340" w:rsidR="0005714A" w:rsidRDefault="0005714A">
            <w:pPr>
              <w:pStyle w:val="text-build-content"/>
              <w:spacing w:before="150" w:after="150" w:line="330" w:lineRule="exact"/>
              <w:rPr>
                <w:rFonts w:ascii="Arial" w:hAnsi="Arial" w:cs="Arial"/>
                <w:color w:val="000000"/>
                <w:sz w:val="20"/>
                <w:szCs w:val="20"/>
              </w:rPr>
            </w:pPr>
          </w:p>
        </w:tc>
      </w:tr>
    </w:tbl>
    <w:p w14:paraId="4C0E5EB3" w14:textId="77777777" w:rsidR="002C712D" w:rsidRPr="002C712D" w:rsidRDefault="002C712D" w:rsidP="002C712D"/>
    <w:sectPr w:rsidR="002C712D" w:rsidRPr="002C712D" w:rsidSect="00DB16B3">
      <w:footerReference w:type="default" r:id="rId14"/>
      <w:headerReference w:type="first" r:id="rId15"/>
      <w:footerReference w:type="first" r:id="rId16"/>
      <w:pgSz w:w="11906" w:h="16838"/>
      <w:pgMar w:top="-709" w:right="849"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37B7" w14:textId="77777777" w:rsidR="00D6495D" w:rsidRDefault="00D6495D" w:rsidP="00E37484">
      <w:r>
        <w:separator/>
      </w:r>
    </w:p>
  </w:endnote>
  <w:endnote w:type="continuationSeparator" w:id="0">
    <w:p w14:paraId="2ADA13CF" w14:textId="77777777" w:rsidR="00D6495D" w:rsidRDefault="00D6495D" w:rsidP="00E37484">
      <w:r>
        <w:continuationSeparator/>
      </w:r>
    </w:p>
  </w:endnote>
  <w:endnote w:type="continuationNotice" w:id="1">
    <w:p w14:paraId="4D66F5AD" w14:textId="77777777" w:rsidR="00D6495D" w:rsidRDefault="00D6495D" w:rsidP="00E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themeColor="accent1"/>
      </w:rPr>
      <w:id w:val="-97566988"/>
      <w:docPartObj>
        <w:docPartGallery w:val="Page Numbers (Bottom of Page)"/>
        <w:docPartUnique/>
      </w:docPartObj>
    </w:sdtPr>
    <w:sdtEndPr>
      <w:rPr>
        <w:noProof/>
        <w:sz w:val="18"/>
        <w:szCs w:val="18"/>
      </w:rPr>
    </w:sdtEndPr>
    <w:sdtContent>
      <w:p w14:paraId="4A5C84E7" w14:textId="77777777" w:rsidR="000304ED" w:rsidRPr="00E748FB" w:rsidRDefault="00420585" w:rsidP="00E37484">
        <w:pPr>
          <w:pStyle w:val="Footer"/>
          <w:rPr>
            <w:color w:val="0070C0" w:themeColor="accent1"/>
            <w:sz w:val="18"/>
            <w:szCs w:val="18"/>
          </w:rPr>
        </w:pPr>
        <w:r w:rsidRPr="00E748FB">
          <w:rPr>
            <w:color w:val="0070C0" w:themeColor="accent1"/>
            <w:sz w:val="18"/>
            <w:szCs w:val="18"/>
          </w:rPr>
          <w:ptab w:relativeTo="margin" w:alignment="center" w:leader="none"/>
        </w:r>
        <w:r w:rsidR="000304ED" w:rsidRPr="00E748FB">
          <w:rPr>
            <w:color w:val="0070C0" w:themeColor="accent1"/>
            <w:sz w:val="18"/>
            <w:szCs w:val="18"/>
          </w:rPr>
          <w:t>APTUK. A company limited by guarantee, registered in England and Wales. Company No: 08506500</w:t>
        </w:r>
      </w:p>
      <w:p w14:paraId="5A63611E" w14:textId="77777777" w:rsidR="000304ED" w:rsidRPr="00E748FB" w:rsidRDefault="000304ED" w:rsidP="00E37484">
        <w:pPr>
          <w:pStyle w:val="Footer"/>
          <w:rPr>
            <w:color w:val="0070C0" w:themeColor="accent1"/>
            <w:sz w:val="18"/>
            <w:szCs w:val="18"/>
          </w:rPr>
        </w:pPr>
        <w:r w:rsidRPr="00E748FB">
          <w:rPr>
            <w:color w:val="0070C0" w:themeColor="accent1"/>
            <w:sz w:val="18"/>
            <w:szCs w:val="18"/>
          </w:rPr>
          <w:ptab w:relativeTo="margin" w:alignment="center" w:leader="none"/>
        </w:r>
        <w:r w:rsidRPr="00E748FB">
          <w:rPr>
            <w:color w:val="0070C0" w:themeColor="accent1"/>
            <w:sz w:val="18"/>
            <w:szCs w:val="18"/>
          </w:rPr>
          <w:t>Registered Office: One Victoria Square, Birmingham, B1 1BD</w:t>
        </w:r>
        <w:r w:rsidRPr="00E748FB">
          <w:rPr>
            <w:color w:val="0070C0" w:themeColor="accent1"/>
            <w:sz w:val="18"/>
            <w:szCs w:val="18"/>
          </w:rPr>
          <w:ptab w:relativeTo="margin" w:alignment="right" w:leader="none"/>
        </w:r>
        <w:r w:rsidRPr="00E748FB">
          <w:rPr>
            <w:color w:val="0070C0" w:themeColor="accent1"/>
            <w:sz w:val="18"/>
            <w:szCs w:val="18"/>
          </w:rPr>
          <w:fldChar w:fldCharType="begin"/>
        </w:r>
        <w:r w:rsidRPr="00E748FB">
          <w:rPr>
            <w:color w:val="0070C0" w:themeColor="accent1"/>
            <w:sz w:val="18"/>
            <w:szCs w:val="18"/>
          </w:rPr>
          <w:instrText xml:space="preserve"> PAGE   \* MERGEFORMAT </w:instrText>
        </w:r>
        <w:r w:rsidRPr="00E748FB">
          <w:rPr>
            <w:color w:val="0070C0" w:themeColor="accent1"/>
            <w:sz w:val="18"/>
            <w:szCs w:val="18"/>
          </w:rPr>
          <w:fldChar w:fldCharType="separate"/>
        </w:r>
        <w:r w:rsidRPr="00E748FB">
          <w:rPr>
            <w:noProof/>
            <w:color w:val="0070C0" w:themeColor="accent1"/>
            <w:sz w:val="18"/>
            <w:szCs w:val="18"/>
          </w:rPr>
          <w:t>2</w:t>
        </w:r>
        <w:r w:rsidRPr="00E748FB">
          <w:rPr>
            <w:noProof/>
            <w:color w:val="0070C0" w:themeColor="accent1"/>
            <w:sz w:val="18"/>
            <w:szCs w:val="18"/>
          </w:rPr>
          <w:fldChar w:fldCharType="end"/>
        </w:r>
      </w:p>
    </w:sdtContent>
  </w:sdt>
  <w:p w14:paraId="31919584" w14:textId="77777777" w:rsidR="00151592" w:rsidRPr="00E748FB" w:rsidRDefault="00151592" w:rsidP="00E37484">
    <w:pPr>
      <w:pStyle w:val="Footer"/>
      <w:rPr>
        <w:color w:val="0070C0"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78296069"/>
      <w:docPartObj>
        <w:docPartGallery w:val="Page Numbers (Bottom of Page)"/>
        <w:docPartUnique/>
      </w:docPartObj>
    </w:sdtPr>
    <w:sdtEndPr>
      <w:rPr>
        <w:noProof/>
      </w:rPr>
    </w:sdtEndPr>
    <w:sdtContent>
      <w:p w14:paraId="65AC12E4" w14:textId="77777777" w:rsidR="000304ED" w:rsidRPr="00E748FB" w:rsidRDefault="00420585" w:rsidP="00E37484">
        <w:pPr>
          <w:pStyle w:val="Footer"/>
          <w:rPr>
            <w:color w:val="0070C0" w:themeColor="accent1"/>
            <w:sz w:val="18"/>
            <w:szCs w:val="18"/>
          </w:rPr>
        </w:pPr>
        <w:r w:rsidRPr="00E748FB">
          <w:rPr>
            <w:color w:val="0070C0" w:themeColor="accent1"/>
            <w:sz w:val="18"/>
            <w:szCs w:val="18"/>
          </w:rPr>
          <w:ptab w:relativeTo="margin" w:alignment="center" w:leader="none"/>
        </w:r>
        <w:r w:rsidR="000304ED" w:rsidRPr="00E748FB">
          <w:rPr>
            <w:color w:val="0070C0" w:themeColor="accent1"/>
            <w:sz w:val="18"/>
            <w:szCs w:val="18"/>
          </w:rPr>
          <w:t>APTUK. A company limited by guarantee, registered in England and Wales. Company No: 08506500</w:t>
        </w:r>
      </w:p>
      <w:p w14:paraId="155D9843" w14:textId="77777777" w:rsidR="000304ED" w:rsidRPr="00420585" w:rsidRDefault="000304ED" w:rsidP="00E37484">
        <w:pPr>
          <w:pStyle w:val="Footer"/>
          <w:rPr>
            <w:sz w:val="18"/>
            <w:szCs w:val="18"/>
          </w:rPr>
        </w:pPr>
        <w:r w:rsidRPr="00E748FB">
          <w:rPr>
            <w:color w:val="0070C0" w:themeColor="accent1"/>
            <w:sz w:val="18"/>
            <w:szCs w:val="18"/>
          </w:rPr>
          <w:ptab w:relativeTo="margin" w:alignment="center" w:leader="none"/>
        </w:r>
        <w:r w:rsidRPr="00E748FB">
          <w:rPr>
            <w:color w:val="0070C0" w:themeColor="accent1"/>
            <w:sz w:val="18"/>
            <w:szCs w:val="18"/>
          </w:rPr>
          <w:t>Registered Office: One Victoria Square, Birmingham, B1 1BD</w:t>
        </w:r>
        <w:r w:rsidRPr="00E748FB">
          <w:rPr>
            <w:color w:val="0070C0" w:themeColor="accent1"/>
            <w:sz w:val="18"/>
            <w:szCs w:val="18"/>
          </w:rPr>
          <w:ptab w:relativeTo="margin" w:alignment="right" w:leader="none"/>
        </w:r>
        <w:r w:rsidRPr="00E748FB">
          <w:rPr>
            <w:color w:val="0070C0" w:themeColor="accent1"/>
            <w:sz w:val="18"/>
            <w:szCs w:val="18"/>
          </w:rPr>
          <w:fldChar w:fldCharType="begin"/>
        </w:r>
        <w:r w:rsidRPr="00E748FB">
          <w:rPr>
            <w:color w:val="0070C0" w:themeColor="accent1"/>
            <w:sz w:val="18"/>
            <w:szCs w:val="18"/>
          </w:rPr>
          <w:instrText xml:space="preserve"> PAGE   \* MERGEFORMAT </w:instrText>
        </w:r>
        <w:r w:rsidRPr="00E748FB">
          <w:rPr>
            <w:color w:val="0070C0" w:themeColor="accent1"/>
            <w:sz w:val="18"/>
            <w:szCs w:val="18"/>
          </w:rPr>
          <w:fldChar w:fldCharType="separate"/>
        </w:r>
        <w:r w:rsidRPr="00E748FB">
          <w:rPr>
            <w:noProof/>
            <w:color w:val="0070C0" w:themeColor="accent1"/>
            <w:sz w:val="18"/>
            <w:szCs w:val="18"/>
          </w:rPr>
          <w:t>2</w:t>
        </w:r>
        <w:r w:rsidRPr="00E748FB">
          <w:rPr>
            <w:noProof/>
            <w:color w:val="0070C0" w:themeColor="accent1"/>
            <w:sz w:val="18"/>
            <w:szCs w:val="18"/>
          </w:rPr>
          <w:fldChar w:fldCharType="end"/>
        </w:r>
      </w:p>
    </w:sdtContent>
  </w:sdt>
  <w:p w14:paraId="42A6F73D" w14:textId="77777777" w:rsidR="00263514" w:rsidRPr="00263514" w:rsidRDefault="00263514" w:rsidP="00E37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7167" w14:textId="77777777" w:rsidR="00D6495D" w:rsidRDefault="00D6495D" w:rsidP="00E37484">
      <w:r>
        <w:separator/>
      </w:r>
    </w:p>
  </w:footnote>
  <w:footnote w:type="continuationSeparator" w:id="0">
    <w:p w14:paraId="68A867A3" w14:textId="77777777" w:rsidR="00D6495D" w:rsidRDefault="00D6495D" w:rsidP="00E37484">
      <w:r>
        <w:continuationSeparator/>
      </w:r>
    </w:p>
  </w:footnote>
  <w:footnote w:type="continuationNotice" w:id="1">
    <w:p w14:paraId="5A648960" w14:textId="77777777" w:rsidR="00D6495D" w:rsidRDefault="00D6495D" w:rsidP="00E37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6998" w14:textId="77777777" w:rsidR="008F053B" w:rsidRDefault="002C712D" w:rsidP="00E37484">
    <w:pPr>
      <w:pStyle w:val="Header"/>
    </w:pPr>
    <w:r>
      <w:rPr>
        <w:noProof/>
      </w:rPr>
      <w:drawing>
        <wp:inline distT="0" distB="0" distL="0" distR="0" wp14:anchorId="39684489" wp14:editId="701A1156">
          <wp:extent cx="6301105" cy="1199515"/>
          <wp:effectExtent l="0" t="0" r="4445" b="635"/>
          <wp:docPr id="837109110"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73508" name="Picture 2"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1105" cy="1199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25E0"/>
    <w:multiLevelType w:val="multilevel"/>
    <w:tmpl w:val="1BC249DA"/>
    <w:lvl w:ilvl="0">
      <w:start w:val="1"/>
      <w:numFmt w:val="decimal"/>
      <w:pStyle w:val="Numheading1"/>
      <w:lvlText w:val="%1."/>
      <w:lvlJc w:val="left"/>
      <w:pPr>
        <w:ind w:left="360" w:hanging="360"/>
      </w:pPr>
      <w:rPr>
        <w:rFonts w:hint="default"/>
      </w:rPr>
    </w:lvl>
    <w:lvl w:ilvl="1">
      <w:start w:val="1"/>
      <w:numFmt w:val="decimal"/>
      <w:pStyle w:val="Numheading2"/>
      <w:lvlText w:val="%1.%2."/>
      <w:lvlJc w:val="left"/>
      <w:pPr>
        <w:ind w:left="1425" w:hanging="432"/>
      </w:pPr>
      <w:rPr>
        <w:rFonts w:hint="default"/>
      </w:rPr>
    </w:lvl>
    <w:lvl w:ilvl="2">
      <w:start w:val="1"/>
      <w:numFmt w:val="decimal"/>
      <w:pStyle w:val="Numheading3"/>
      <w:lvlText w:val="%1.%2.%3."/>
      <w:lvlJc w:val="left"/>
      <w:pPr>
        <w:ind w:left="1224" w:hanging="504"/>
      </w:pPr>
      <w:rPr>
        <w:rFonts w:hint="default"/>
      </w:rPr>
    </w:lvl>
    <w:lvl w:ilvl="3">
      <w:start w:val="1"/>
      <w:numFmt w:val="decimal"/>
      <w:pStyle w:val="Numheading4"/>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9C7953"/>
    <w:multiLevelType w:val="hybridMultilevel"/>
    <w:tmpl w:val="694E61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1198282C"/>
    <w:multiLevelType w:val="hybridMultilevel"/>
    <w:tmpl w:val="84BC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0F6"/>
    <w:multiLevelType w:val="hybridMultilevel"/>
    <w:tmpl w:val="13A85FFA"/>
    <w:lvl w:ilvl="0" w:tplc="5888B8B6">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511CE"/>
    <w:multiLevelType w:val="hybridMultilevel"/>
    <w:tmpl w:val="450666F4"/>
    <w:lvl w:ilvl="0" w:tplc="C18806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D019A"/>
    <w:multiLevelType w:val="hybridMultilevel"/>
    <w:tmpl w:val="FC701438"/>
    <w:lvl w:ilvl="0" w:tplc="C6961232">
      <w:start w:val="1"/>
      <w:numFmt w:val="bullet"/>
      <w:pStyle w:val="Bullet2"/>
      <w:lvlText w:val="‐"/>
      <w:lvlJc w:val="left"/>
      <w:pPr>
        <w:ind w:left="1778" w:hanging="360"/>
      </w:pPr>
      <w:rPr>
        <w:rFonts w:ascii="Calibri" w:hAnsi="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78A25A3"/>
    <w:multiLevelType w:val="hybridMultilevel"/>
    <w:tmpl w:val="C8589640"/>
    <w:lvl w:ilvl="0" w:tplc="B928CEC4">
      <w:start w:val="1"/>
      <w:numFmt w:val="bullet"/>
      <w:pStyle w:val="Bullet1"/>
      <w:lvlText w:val=""/>
      <w:lvlJc w:val="left"/>
      <w:pPr>
        <w:ind w:left="1352"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3CCC2EC0"/>
    <w:multiLevelType w:val="multilevel"/>
    <w:tmpl w:val="18B42D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19480F"/>
    <w:multiLevelType w:val="multilevel"/>
    <w:tmpl w:val="3120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F27F4"/>
    <w:multiLevelType w:val="hybridMultilevel"/>
    <w:tmpl w:val="E3BC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F4163"/>
    <w:multiLevelType w:val="hybridMultilevel"/>
    <w:tmpl w:val="23BC441C"/>
    <w:lvl w:ilvl="0" w:tplc="4DD8BC14">
      <w:start w:val="12"/>
      <w:numFmt w:val="bullet"/>
      <w:pStyle w:val="Action"/>
      <w:lvlText w:val="A"/>
      <w:lvlJc w:val="left"/>
      <w:pPr>
        <w:ind w:left="720" w:hanging="360"/>
      </w:pPr>
      <w:rPr>
        <w:rFonts w:ascii="Calibri" w:hAnsi="Calibri" w:hint="default"/>
        <w:color w:val="FF66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621FF"/>
    <w:multiLevelType w:val="hybridMultilevel"/>
    <w:tmpl w:val="D75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03538"/>
    <w:multiLevelType w:val="hybridMultilevel"/>
    <w:tmpl w:val="B97C4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FBC2BEE"/>
    <w:multiLevelType w:val="multilevel"/>
    <w:tmpl w:val="E6E45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900916">
    <w:abstractNumId w:val="3"/>
  </w:num>
  <w:num w:numId="2" w16cid:durableId="93520150">
    <w:abstractNumId w:val="0"/>
  </w:num>
  <w:num w:numId="3" w16cid:durableId="167182785">
    <w:abstractNumId w:val="7"/>
  </w:num>
  <w:num w:numId="4" w16cid:durableId="575746156">
    <w:abstractNumId w:val="2"/>
  </w:num>
  <w:num w:numId="5" w16cid:durableId="981346582">
    <w:abstractNumId w:val="11"/>
  </w:num>
  <w:num w:numId="6" w16cid:durableId="1848711658">
    <w:abstractNumId w:val="10"/>
  </w:num>
  <w:num w:numId="7" w16cid:durableId="436830011">
    <w:abstractNumId w:val="12"/>
  </w:num>
  <w:num w:numId="8" w16cid:durableId="1062943555">
    <w:abstractNumId w:val="1"/>
  </w:num>
  <w:num w:numId="9" w16cid:durableId="2080983091">
    <w:abstractNumId w:val="5"/>
  </w:num>
  <w:num w:numId="10" w16cid:durableId="453520291">
    <w:abstractNumId w:val="5"/>
  </w:num>
  <w:num w:numId="11" w16cid:durableId="2146266941">
    <w:abstractNumId w:val="9"/>
  </w:num>
  <w:num w:numId="12" w16cid:durableId="879585776">
    <w:abstractNumId w:val="4"/>
  </w:num>
  <w:num w:numId="13" w16cid:durableId="2036925403">
    <w:abstractNumId w:val="6"/>
  </w:num>
  <w:num w:numId="14" w16cid:durableId="10306288">
    <w:abstractNumId w:val="8"/>
  </w:num>
  <w:num w:numId="15" w16cid:durableId="1409424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4A"/>
    <w:rsid w:val="000304ED"/>
    <w:rsid w:val="0005714A"/>
    <w:rsid w:val="000867F2"/>
    <w:rsid w:val="000966E1"/>
    <w:rsid w:val="000B39F9"/>
    <w:rsid w:val="000B6F78"/>
    <w:rsid w:val="000B7CDF"/>
    <w:rsid w:val="000D3E21"/>
    <w:rsid w:val="000E1CDB"/>
    <w:rsid w:val="000E3EC7"/>
    <w:rsid w:val="000F4B90"/>
    <w:rsid w:val="0011473A"/>
    <w:rsid w:val="00123792"/>
    <w:rsid w:val="00136D06"/>
    <w:rsid w:val="00137AA0"/>
    <w:rsid w:val="0014205C"/>
    <w:rsid w:val="00151592"/>
    <w:rsid w:val="00155269"/>
    <w:rsid w:val="0015638B"/>
    <w:rsid w:val="001642C8"/>
    <w:rsid w:val="00170DFF"/>
    <w:rsid w:val="001C1F6C"/>
    <w:rsid w:val="001C29B9"/>
    <w:rsid w:val="001D393F"/>
    <w:rsid w:val="001E6B0D"/>
    <w:rsid w:val="0021209C"/>
    <w:rsid w:val="00225D30"/>
    <w:rsid w:val="00236861"/>
    <w:rsid w:val="00256349"/>
    <w:rsid w:val="00263514"/>
    <w:rsid w:val="002A4B85"/>
    <w:rsid w:val="002A5C88"/>
    <w:rsid w:val="002C712D"/>
    <w:rsid w:val="002D7B67"/>
    <w:rsid w:val="002F1FA4"/>
    <w:rsid w:val="003026F3"/>
    <w:rsid w:val="00334D25"/>
    <w:rsid w:val="003427CE"/>
    <w:rsid w:val="00353B24"/>
    <w:rsid w:val="003563B1"/>
    <w:rsid w:val="003719E8"/>
    <w:rsid w:val="003866B6"/>
    <w:rsid w:val="00386C36"/>
    <w:rsid w:val="00390465"/>
    <w:rsid w:val="003A795D"/>
    <w:rsid w:val="003B5CA1"/>
    <w:rsid w:val="003C6BAD"/>
    <w:rsid w:val="003E0614"/>
    <w:rsid w:val="00420585"/>
    <w:rsid w:val="00435F86"/>
    <w:rsid w:val="0044274E"/>
    <w:rsid w:val="00474344"/>
    <w:rsid w:val="0048544B"/>
    <w:rsid w:val="0048675C"/>
    <w:rsid w:val="004B0B26"/>
    <w:rsid w:val="004B5DDE"/>
    <w:rsid w:val="004C1FFC"/>
    <w:rsid w:val="004D0D7F"/>
    <w:rsid w:val="00514F31"/>
    <w:rsid w:val="005204D2"/>
    <w:rsid w:val="0052274D"/>
    <w:rsid w:val="00527A34"/>
    <w:rsid w:val="00540F5A"/>
    <w:rsid w:val="0054263B"/>
    <w:rsid w:val="005E01F9"/>
    <w:rsid w:val="005F0DB5"/>
    <w:rsid w:val="00603A88"/>
    <w:rsid w:val="006122D4"/>
    <w:rsid w:val="00622E5E"/>
    <w:rsid w:val="00625263"/>
    <w:rsid w:val="006372BC"/>
    <w:rsid w:val="0064369F"/>
    <w:rsid w:val="00671BF0"/>
    <w:rsid w:val="006B7264"/>
    <w:rsid w:val="006D2A51"/>
    <w:rsid w:val="007057FD"/>
    <w:rsid w:val="007320EE"/>
    <w:rsid w:val="00733577"/>
    <w:rsid w:val="00737CD9"/>
    <w:rsid w:val="00746391"/>
    <w:rsid w:val="00750051"/>
    <w:rsid w:val="00756652"/>
    <w:rsid w:val="00771400"/>
    <w:rsid w:val="00774DDA"/>
    <w:rsid w:val="00780705"/>
    <w:rsid w:val="00784F94"/>
    <w:rsid w:val="007855EA"/>
    <w:rsid w:val="0078767F"/>
    <w:rsid w:val="007960FE"/>
    <w:rsid w:val="007B6416"/>
    <w:rsid w:val="007B6AAD"/>
    <w:rsid w:val="00810DB7"/>
    <w:rsid w:val="008127A7"/>
    <w:rsid w:val="00836342"/>
    <w:rsid w:val="00855F9F"/>
    <w:rsid w:val="008639BF"/>
    <w:rsid w:val="00876705"/>
    <w:rsid w:val="00885C4A"/>
    <w:rsid w:val="00886676"/>
    <w:rsid w:val="00895D60"/>
    <w:rsid w:val="008F053B"/>
    <w:rsid w:val="008F7BBA"/>
    <w:rsid w:val="00902778"/>
    <w:rsid w:val="00904F11"/>
    <w:rsid w:val="00905B29"/>
    <w:rsid w:val="009609B6"/>
    <w:rsid w:val="0096467E"/>
    <w:rsid w:val="00982B33"/>
    <w:rsid w:val="009B71C4"/>
    <w:rsid w:val="009C3016"/>
    <w:rsid w:val="009D17C4"/>
    <w:rsid w:val="009D2B88"/>
    <w:rsid w:val="009E174B"/>
    <w:rsid w:val="00A13424"/>
    <w:rsid w:val="00A31335"/>
    <w:rsid w:val="00A36EFF"/>
    <w:rsid w:val="00A37518"/>
    <w:rsid w:val="00A469E6"/>
    <w:rsid w:val="00A94269"/>
    <w:rsid w:val="00AE7118"/>
    <w:rsid w:val="00AF651D"/>
    <w:rsid w:val="00B0016D"/>
    <w:rsid w:val="00B37039"/>
    <w:rsid w:val="00B414F3"/>
    <w:rsid w:val="00B50034"/>
    <w:rsid w:val="00BB0495"/>
    <w:rsid w:val="00BB2BCD"/>
    <w:rsid w:val="00BE6156"/>
    <w:rsid w:val="00BF01AE"/>
    <w:rsid w:val="00C37CB8"/>
    <w:rsid w:val="00C46DA3"/>
    <w:rsid w:val="00C53C5D"/>
    <w:rsid w:val="00C702C9"/>
    <w:rsid w:val="00CA4456"/>
    <w:rsid w:val="00CB3E2C"/>
    <w:rsid w:val="00CB7BBF"/>
    <w:rsid w:val="00CD4B2C"/>
    <w:rsid w:val="00CE751A"/>
    <w:rsid w:val="00D4325E"/>
    <w:rsid w:val="00D53CF8"/>
    <w:rsid w:val="00D6495D"/>
    <w:rsid w:val="00D87971"/>
    <w:rsid w:val="00D907F6"/>
    <w:rsid w:val="00D9303A"/>
    <w:rsid w:val="00DB16B3"/>
    <w:rsid w:val="00DC3902"/>
    <w:rsid w:val="00DD10E5"/>
    <w:rsid w:val="00DF29F9"/>
    <w:rsid w:val="00E027E5"/>
    <w:rsid w:val="00E33471"/>
    <w:rsid w:val="00E37484"/>
    <w:rsid w:val="00E42DAD"/>
    <w:rsid w:val="00E440EF"/>
    <w:rsid w:val="00E507F7"/>
    <w:rsid w:val="00E730D6"/>
    <w:rsid w:val="00E748FB"/>
    <w:rsid w:val="00E8796E"/>
    <w:rsid w:val="00EA5CDC"/>
    <w:rsid w:val="00EB5350"/>
    <w:rsid w:val="00EC150F"/>
    <w:rsid w:val="00EC43AB"/>
    <w:rsid w:val="00EF552E"/>
    <w:rsid w:val="00F00F95"/>
    <w:rsid w:val="00F21660"/>
    <w:rsid w:val="00F27747"/>
    <w:rsid w:val="00F30CCC"/>
    <w:rsid w:val="00F4576A"/>
    <w:rsid w:val="00F47A55"/>
    <w:rsid w:val="00F47F48"/>
    <w:rsid w:val="00F7065B"/>
    <w:rsid w:val="00F831CF"/>
    <w:rsid w:val="00F92B31"/>
    <w:rsid w:val="00F9588F"/>
    <w:rsid w:val="00FA2EFC"/>
    <w:rsid w:val="00FB1198"/>
    <w:rsid w:val="00FC6412"/>
    <w:rsid w:val="00FD0BC9"/>
    <w:rsid w:val="00FD0DD4"/>
    <w:rsid w:val="00FE00AC"/>
    <w:rsid w:val="00FE43FD"/>
    <w:rsid w:val="00FF4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1CAB"/>
  <w15:docId w15:val="{B94F4708-C69D-48CC-85CE-4F66E418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8"/>
    <w:pPr>
      <w:spacing w:after="120"/>
      <w:jc w:val="both"/>
    </w:pPr>
    <w:rPr>
      <w:rFonts w:cs="Gisha"/>
    </w:rPr>
  </w:style>
  <w:style w:type="paragraph" w:styleId="Heading1">
    <w:name w:val="heading 1"/>
    <w:basedOn w:val="Normal"/>
    <w:next w:val="Normal"/>
    <w:link w:val="Heading1Char"/>
    <w:uiPriority w:val="9"/>
    <w:qFormat/>
    <w:rsid w:val="000F4B90"/>
    <w:pPr>
      <w:outlineLvl w:val="0"/>
    </w:pPr>
    <w:rPr>
      <w:color w:val="0070C0" w:themeColor="accent1"/>
      <w:sz w:val="28"/>
      <w:szCs w:val="28"/>
    </w:rPr>
  </w:style>
  <w:style w:type="paragraph" w:styleId="Heading2">
    <w:name w:val="heading 2"/>
    <w:basedOn w:val="Normal"/>
    <w:next w:val="indent1"/>
    <w:link w:val="Heading2Char"/>
    <w:uiPriority w:val="9"/>
    <w:unhideWhenUsed/>
    <w:qFormat/>
    <w:rsid w:val="00EB5350"/>
    <w:pPr>
      <w:ind w:left="378" w:firstLine="48"/>
      <w:outlineLvl w:val="1"/>
    </w:pPr>
    <w:rPr>
      <w:color w:val="0070C0" w:themeColor="accent1"/>
      <w:sz w:val="24"/>
      <w:szCs w:val="24"/>
    </w:rPr>
  </w:style>
  <w:style w:type="paragraph" w:styleId="Heading3">
    <w:name w:val="heading 3"/>
    <w:basedOn w:val="Normal"/>
    <w:next w:val="indent2"/>
    <w:link w:val="Heading3Char"/>
    <w:uiPriority w:val="9"/>
    <w:unhideWhenUsed/>
    <w:qFormat/>
    <w:rsid w:val="00EB5350"/>
    <w:pPr>
      <w:ind w:left="851" w:firstLine="142"/>
      <w:outlineLvl w:val="2"/>
    </w:pPr>
    <w:rPr>
      <w:color w:val="0070C0" w:themeColor="accent1"/>
    </w:rPr>
  </w:style>
  <w:style w:type="paragraph" w:styleId="Heading4">
    <w:name w:val="heading 4"/>
    <w:basedOn w:val="Heading3"/>
    <w:next w:val="indent3"/>
    <w:link w:val="Heading4Char"/>
    <w:uiPriority w:val="9"/>
    <w:unhideWhenUsed/>
    <w:qFormat/>
    <w:rsid w:val="00C53C5D"/>
    <w:pPr>
      <w:ind w:left="15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92"/>
    <w:rPr>
      <w:rFonts w:ascii="Tahoma" w:hAnsi="Tahoma" w:cs="Tahoma"/>
      <w:sz w:val="16"/>
      <w:szCs w:val="16"/>
    </w:rPr>
  </w:style>
  <w:style w:type="paragraph" w:styleId="Header">
    <w:name w:val="header"/>
    <w:basedOn w:val="Normal"/>
    <w:link w:val="HeaderChar"/>
    <w:uiPriority w:val="99"/>
    <w:unhideWhenUsed/>
    <w:rsid w:val="0015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592"/>
  </w:style>
  <w:style w:type="paragraph" w:styleId="Footer">
    <w:name w:val="footer"/>
    <w:basedOn w:val="Normal"/>
    <w:link w:val="FooterChar"/>
    <w:uiPriority w:val="99"/>
    <w:unhideWhenUsed/>
    <w:rsid w:val="0015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592"/>
  </w:style>
  <w:style w:type="character" w:customStyle="1" w:styleId="Heading1Char">
    <w:name w:val="Heading 1 Char"/>
    <w:basedOn w:val="DefaultParagraphFont"/>
    <w:link w:val="Heading1"/>
    <w:uiPriority w:val="9"/>
    <w:rsid w:val="000F4B90"/>
    <w:rPr>
      <w:rFonts w:cs="Gisha"/>
      <w:color w:val="0070C0" w:themeColor="accent1"/>
      <w:sz w:val="28"/>
      <w:szCs w:val="28"/>
    </w:rPr>
  </w:style>
  <w:style w:type="character" w:customStyle="1" w:styleId="Heading2Char">
    <w:name w:val="Heading 2 Char"/>
    <w:basedOn w:val="DefaultParagraphFont"/>
    <w:link w:val="Heading2"/>
    <w:uiPriority w:val="9"/>
    <w:rsid w:val="00EB5350"/>
    <w:rPr>
      <w:rFonts w:cs="Gisha"/>
      <w:color w:val="0070C0" w:themeColor="accent1"/>
      <w:sz w:val="24"/>
      <w:szCs w:val="24"/>
    </w:rPr>
  </w:style>
  <w:style w:type="character" w:customStyle="1" w:styleId="Heading3Char">
    <w:name w:val="Heading 3 Char"/>
    <w:basedOn w:val="DefaultParagraphFont"/>
    <w:link w:val="Heading3"/>
    <w:uiPriority w:val="9"/>
    <w:rsid w:val="00EB5350"/>
    <w:rPr>
      <w:rFonts w:cs="Gisha"/>
      <w:color w:val="0070C0" w:themeColor="accent1"/>
    </w:rPr>
  </w:style>
  <w:style w:type="character" w:customStyle="1" w:styleId="Heading4Char">
    <w:name w:val="Heading 4 Char"/>
    <w:basedOn w:val="DefaultParagraphFont"/>
    <w:link w:val="Heading4"/>
    <w:uiPriority w:val="9"/>
    <w:rsid w:val="00C53C5D"/>
    <w:rPr>
      <w:rFonts w:cs="Gisha"/>
      <w:i/>
      <w:iCs/>
      <w:color w:val="0070C0" w:themeColor="accent1"/>
    </w:rPr>
  </w:style>
  <w:style w:type="paragraph" w:customStyle="1" w:styleId="Numheading1">
    <w:name w:val="Num heading 1"/>
    <w:basedOn w:val="Heading1"/>
    <w:next w:val="indent1"/>
    <w:link w:val="Numheading1Char"/>
    <w:qFormat/>
    <w:rsid w:val="00BB2BCD"/>
    <w:pPr>
      <w:numPr>
        <w:numId w:val="2"/>
      </w:numPr>
      <w:ind w:left="426" w:hanging="426"/>
    </w:pPr>
  </w:style>
  <w:style w:type="paragraph" w:styleId="ListParagraph">
    <w:name w:val="List Paragraph"/>
    <w:basedOn w:val="Normal"/>
    <w:link w:val="ListParagraphChar"/>
    <w:uiPriority w:val="34"/>
    <w:qFormat/>
    <w:rsid w:val="00FE43FD"/>
    <w:pPr>
      <w:ind w:left="720"/>
      <w:contextualSpacing/>
    </w:pPr>
  </w:style>
  <w:style w:type="character" w:customStyle="1" w:styleId="Numheading1Char">
    <w:name w:val="Num heading 1 Char"/>
    <w:basedOn w:val="Heading1Char"/>
    <w:link w:val="Numheading1"/>
    <w:rsid w:val="00BB2BCD"/>
    <w:rPr>
      <w:rFonts w:cs="Gisha"/>
      <w:color w:val="0070C0" w:themeColor="accent1"/>
      <w:sz w:val="28"/>
      <w:szCs w:val="28"/>
    </w:rPr>
  </w:style>
  <w:style w:type="paragraph" w:customStyle="1" w:styleId="Numheading2">
    <w:name w:val="Num heading 2"/>
    <w:basedOn w:val="Numheading1"/>
    <w:next w:val="indent2"/>
    <w:link w:val="Numheading2Char"/>
    <w:qFormat/>
    <w:rsid w:val="00BB2BCD"/>
    <w:pPr>
      <w:numPr>
        <w:ilvl w:val="1"/>
      </w:numPr>
      <w:ind w:left="993" w:hanging="567"/>
    </w:pPr>
    <w:rPr>
      <w:bCs/>
      <w:color w:val="auto"/>
      <w:sz w:val="24"/>
      <w:szCs w:val="24"/>
    </w:rPr>
  </w:style>
  <w:style w:type="paragraph" w:customStyle="1" w:styleId="Numheading3">
    <w:name w:val="Num heading 3"/>
    <w:basedOn w:val="ListParagraph"/>
    <w:next w:val="indent3"/>
    <w:link w:val="Numheading3Char"/>
    <w:qFormat/>
    <w:rsid w:val="00BB2BCD"/>
    <w:pPr>
      <w:numPr>
        <w:ilvl w:val="2"/>
        <w:numId w:val="2"/>
      </w:numPr>
      <w:spacing w:after="0"/>
      <w:ind w:left="1701" w:hanging="708"/>
    </w:pPr>
  </w:style>
  <w:style w:type="character" w:customStyle="1" w:styleId="ListParagraphChar">
    <w:name w:val="List Paragraph Char"/>
    <w:basedOn w:val="DefaultParagraphFont"/>
    <w:link w:val="ListParagraph"/>
    <w:uiPriority w:val="34"/>
    <w:rsid w:val="00E027E5"/>
    <w:rPr>
      <w:rFonts w:cs="Gisha"/>
      <w:color w:val="0070C0"/>
    </w:rPr>
  </w:style>
  <w:style w:type="character" w:customStyle="1" w:styleId="Numheading2Char">
    <w:name w:val="Num heading 2 Char"/>
    <w:basedOn w:val="ListParagraphChar"/>
    <w:link w:val="Numheading2"/>
    <w:rsid w:val="00BB2BCD"/>
    <w:rPr>
      <w:rFonts w:cs="Gisha"/>
      <w:bCs/>
      <w:color w:val="0070C0"/>
      <w:sz w:val="24"/>
      <w:szCs w:val="24"/>
    </w:rPr>
  </w:style>
  <w:style w:type="paragraph" w:customStyle="1" w:styleId="Numheading4">
    <w:name w:val="Num heading 4"/>
    <w:basedOn w:val="ListParagraph"/>
    <w:next w:val="indent4"/>
    <w:link w:val="Numheading4Char"/>
    <w:qFormat/>
    <w:rsid w:val="00BB2BCD"/>
    <w:pPr>
      <w:numPr>
        <w:ilvl w:val="3"/>
        <w:numId w:val="2"/>
      </w:numPr>
      <w:spacing w:after="0"/>
      <w:ind w:left="2694" w:hanging="993"/>
    </w:pPr>
    <w:rPr>
      <w:i/>
      <w:iCs/>
    </w:rPr>
  </w:style>
  <w:style w:type="character" w:customStyle="1" w:styleId="Numheading3Char">
    <w:name w:val="Num heading 3 Char"/>
    <w:basedOn w:val="ListParagraphChar"/>
    <w:link w:val="Numheading3"/>
    <w:rsid w:val="00BB2BCD"/>
    <w:rPr>
      <w:rFonts w:cs="Gisha"/>
      <w:color w:val="0070C0"/>
    </w:rPr>
  </w:style>
  <w:style w:type="paragraph" w:styleId="Title">
    <w:name w:val="Title"/>
    <w:basedOn w:val="Normal"/>
    <w:next w:val="Normal"/>
    <w:link w:val="TitleChar"/>
    <w:autoRedefine/>
    <w:uiPriority w:val="10"/>
    <w:qFormat/>
    <w:rsid w:val="0005714A"/>
    <w:pPr>
      <w:pBdr>
        <w:bottom w:val="single" w:sz="4" w:space="1" w:color="0070C0" w:themeColor="accent1"/>
      </w:pBdr>
      <w:spacing w:after="240"/>
      <w:jc w:val="center"/>
    </w:pPr>
    <w:rPr>
      <w:color w:val="0070C0" w:themeColor="accent1"/>
      <w:sz w:val="36"/>
      <w:szCs w:val="36"/>
    </w:rPr>
  </w:style>
  <w:style w:type="character" w:customStyle="1" w:styleId="Numheading4Char">
    <w:name w:val="Num heading 4 Char"/>
    <w:basedOn w:val="ListParagraphChar"/>
    <w:link w:val="Numheading4"/>
    <w:rsid w:val="00BB2BCD"/>
    <w:rPr>
      <w:rFonts w:cs="Gisha"/>
      <w:i/>
      <w:iCs/>
      <w:color w:val="0070C0"/>
    </w:rPr>
  </w:style>
  <w:style w:type="character" w:customStyle="1" w:styleId="TitleChar">
    <w:name w:val="Title Char"/>
    <w:basedOn w:val="DefaultParagraphFont"/>
    <w:link w:val="Title"/>
    <w:uiPriority w:val="10"/>
    <w:rsid w:val="0005714A"/>
    <w:rPr>
      <w:rFonts w:cs="Gisha"/>
      <w:color w:val="0070C0" w:themeColor="accent1"/>
      <w:sz w:val="36"/>
      <w:szCs w:val="36"/>
    </w:rPr>
  </w:style>
  <w:style w:type="paragraph" w:styleId="Subtitle">
    <w:name w:val="Subtitle"/>
    <w:basedOn w:val="Normal"/>
    <w:next w:val="Normal"/>
    <w:link w:val="SubtitleChar"/>
    <w:uiPriority w:val="11"/>
    <w:qFormat/>
    <w:rsid w:val="000B6F78"/>
    <w:pPr>
      <w:numPr>
        <w:ilvl w:val="1"/>
      </w:numPr>
      <w:spacing w:after="160"/>
    </w:pPr>
    <w:rPr>
      <w:rFonts w:eastAsiaTheme="minorEastAsia" w:cstheme="minorBidi"/>
      <w:color w:val="0070C0" w:themeColor="accent1"/>
      <w:spacing w:val="15"/>
    </w:rPr>
  </w:style>
  <w:style w:type="character" w:customStyle="1" w:styleId="SubtitleChar">
    <w:name w:val="Subtitle Char"/>
    <w:basedOn w:val="DefaultParagraphFont"/>
    <w:link w:val="Subtitle"/>
    <w:uiPriority w:val="11"/>
    <w:rsid w:val="000B6F78"/>
    <w:rPr>
      <w:rFonts w:eastAsiaTheme="minorEastAsia"/>
      <w:color w:val="0070C0" w:themeColor="accent1"/>
      <w:spacing w:val="15"/>
    </w:rPr>
  </w:style>
  <w:style w:type="paragraph" w:customStyle="1" w:styleId="indent1">
    <w:name w:val="indent 1"/>
    <w:basedOn w:val="Normal"/>
    <w:link w:val="indent1Char"/>
    <w:qFormat/>
    <w:rsid w:val="00BB2BCD"/>
    <w:pPr>
      <w:ind w:left="426"/>
    </w:pPr>
  </w:style>
  <w:style w:type="paragraph" w:customStyle="1" w:styleId="indent2">
    <w:name w:val="indent 2"/>
    <w:basedOn w:val="Numheading2"/>
    <w:link w:val="indent2Char"/>
    <w:qFormat/>
    <w:rsid w:val="00BB2BCD"/>
    <w:pPr>
      <w:numPr>
        <w:ilvl w:val="0"/>
        <w:numId w:val="0"/>
      </w:numPr>
      <w:ind w:left="993"/>
    </w:pPr>
  </w:style>
  <w:style w:type="character" w:customStyle="1" w:styleId="indent1Char">
    <w:name w:val="indent 1 Char"/>
    <w:basedOn w:val="DefaultParagraphFont"/>
    <w:link w:val="indent1"/>
    <w:rsid w:val="00BB2BCD"/>
    <w:rPr>
      <w:rFonts w:cs="Gisha"/>
    </w:rPr>
  </w:style>
  <w:style w:type="paragraph" w:customStyle="1" w:styleId="indent3">
    <w:name w:val="indent 3"/>
    <w:basedOn w:val="Numheading3"/>
    <w:link w:val="indent3Char"/>
    <w:qFormat/>
    <w:rsid w:val="00BB2BCD"/>
    <w:pPr>
      <w:numPr>
        <w:ilvl w:val="0"/>
        <w:numId w:val="0"/>
      </w:numPr>
      <w:ind w:left="1701"/>
    </w:pPr>
  </w:style>
  <w:style w:type="character" w:customStyle="1" w:styleId="indent2Char">
    <w:name w:val="indent 2 Char"/>
    <w:basedOn w:val="DefaultParagraphFont"/>
    <w:link w:val="indent2"/>
    <w:rsid w:val="00BB2BCD"/>
    <w:rPr>
      <w:rFonts w:cs="Gisha"/>
      <w:bCs/>
      <w:sz w:val="24"/>
      <w:szCs w:val="24"/>
    </w:rPr>
  </w:style>
  <w:style w:type="paragraph" w:customStyle="1" w:styleId="indent4">
    <w:name w:val="indent 4"/>
    <w:basedOn w:val="Numheading4"/>
    <w:link w:val="indent4Char"/>
    <w:qFormat/>
    <w:rsid w:val="00EB5350"/>
    <w:pPr>
      <w:numPr>
        <w:ilvl w:val="0"/>
        <w:numId w:val="0"/>
      </w:numPr>
      <w:ind w:left="2694"/>
    </w:pPr>
  </w:style>
  <w:style w:type="character" w:customStyle="1" w:styleId="indent3Char">
    <w:name w:val="indent 3 Char"/>
    <w:basedOn w:val="Numheading3Char"/>
    <w:link w:val="indent3"/>
    <w:rsid w:val="00BB2BCD"/>
    <w:rPr>
      <w:rFonts w:cs="Gisha"/>
      <w:color w:val="0070C0"/>
    </w:rPr>
  </w:style>
  <w:style w:type="character" w:customStyle="1" w:styleId="normaltextrun">
    <w:name w:val="normaltextrun"/>
    <w:basedOn w:val="DefaultParagraphFont"/>
    <w:rsid w:val="00B414F3"/>
  </w:style>
  <w:style w:type="character" w:customStyle="1" w:styleId="indent4Char">
    <w:name w:val="indent 4 Char"/>
    <w:basedOn w:val="Numheading4Char"/>
    <w:link w:val="indent4"/>
    <w:rsid w:val="00EB5350"/>
    <w:rPr>
      <w:rFonts w:cs="Gisha"/>
      <w:i/>
      <w:iCs/>
      <w:color w:val="0070C0"/>
    </w:rPr>
  </w:style>
  <w:style w:type="character" w:styleId="Hyperlink">
    <w:name w:val="Hyperlink"/>
    <w:basedOn w:val="DefaultParagraphFont"/>
    <w:uiPriority w:val="99"/>
    <w:unhideWhenUsed/>
    <w:rsid w:val="00D9303A"/>
    <w:rPr>
      <w:color w:val="0563C1" w:themeColor="hyperlink"/>
      <w:u w:val="single"/>
    </w:rPr>
  </w:style>
  <w:style w:type="paragraph" w:customStyle="1" w:styleId="Action">
    <w:name w:val="Action"/>
    <w:basedOn w:val="Normal"/>
    <w:link w:val="ActionChar"/>
    <w:qFormat/>
    <w:rsid w:val="00F7065B"/>
    <w:pPr>
      <w:numPr>
        <w:numId w:val="6"/>
      </w:numPr>
    </w:pPr>
  </w:style>
  <w:style w:type="character" w:customStyle="1" w:styleId="ActionChar">
    <w:name w:val="Action Char"/>
    <w:basedOn w:val="DefaultParagraphFont"/>
    <w:link w:val="Action"/>
    <w:rsid w:val="00F7065B"/>
    <w:rPr>
      <w:rFonts w:cs="Gisha"/>
    </w:rPr>
  </w:style>
  <w:style w:type="paragraph" w:customStyle="1" w:styleId="Bullet2">
    <w:name w:val="Bullet 2"/>
    <w:basedOn w:val="indent2"/>
    <w:link w:val="Bullet2Char"/>
    <w:qFormat/>
    <w:rsid w:val="008127A7"/>
    <w:pPr>
      <w:numPr>
        <w:numId w:val="10"/>
      </w:numPr>
      <w:spacing w:after="0"/>
    </w:pPr>
  </w:style>
  <w:style w:type="character" w:customStyle="1" w:styleId="Bullet2Char">
    <w:name w:val="Bullet 2 Char"/>
    <w:basedOn w:val="indent2Char"/>
    <w:link w:val="Bullet2"/>
    <w:rsid w:val="008127A7"/>
    <w:rPr>
      <w:rFonts w:cs="Gisha"/>
      <w:bCs/>
      <w:sz w:val="24"/>
      <w:szCs w:val="24"/>
    </w:rPr>
  </w:style>
  <w:style w:type="paragraph" w:customStyle="1" w:styleId="Bullet1">
    <w:name w:val="Bullet 1"/>
    <w:basedOn w:val="Normal"/>
    <w:link w:val="Bullet1Char"/>
    <w:qFormat/>
    <w:rsid w:val="008127A7"/>
    <w:pPr>
      <w:numPr>
        <w:numId w:val="13"/>
      </w:numPr>
      <w:ind w:left="1418" w:hanging="426"/>
    </w:pPr>
  </w:style>
  <w:style w:type="character" w:customStyle="1" w:styleId="Bullet1Char">
    <w:name w:val="Bullet 1 Char"/>
    <w:basedOn w:val="Bullet2Char"/>
    <w:link w:val="Bullet1"/>
    <w:rsid w:val="008127A7"/>
    <w:rPr>
      <w:rFonts w:cs="Gisha"/>
      <w:bCs w:val="0"/>
      <w:sz w:val="24"/>
      <w:szCs w:val="24"/>
    </w:rPr>
  </w:style>
  <w:style w:type="paragraph" w:customStyle="1" w:styleId="text-build-content">
    <w:name w:val="text-build-content"/>
    <w:basedOn w:val="Normal"/>
    <w:rsid w:val="0005714A"/>
    <w:pPr>
      <w:spacing w:before="195" w:after="195" w:line="240" w:lineRule="auto"/>
      <w:jc w:val="left"/>
    </w:pPr>
    <w:rPr>
      <w:rFonts w:ascii="Aptos" w:hAnsi="Aptos" w:cs="Aptos"/>
      <w:sz w:val="24"/>
      <w:szCs w:val="24"/>
      <w:lang w:eastAsia="en-GB"/>
    </w:rPr>
  </w:style>
  <w:style w:type="character" w:styleId="FollowedHyperlink">
    <w:name w:val="FollowedHyperlink"/>
    <w:basedOn w:val="DefaultParagraphFont"/>
    <w:uiPriority w:val="99"/>
    <w:semiHidden/>
    <w:unhideWhenUsed/>
    <w:rsid w:val="0005714A"/>
    <w:rPr>
      <w:color w:val="954F72" w:themeColor="followedHyperlink"/>
      <w:u w:val="single"/>
    </w:rPr>
  </w:style>
  <w:style w:type="character" w:styleId="UnresolvedMention">
    <w:name w:val="Unresolved Mention"/>
    <w:basedOn w:val="DefaultParagraphFont"/>
    <w:uiPriority w:val="99"/>
    <w:semiHidden/>
    <w:unhideWhenUsed/>
    <w:rsid w:val="0005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vpl.mj.am/lnk/AWYAADfVt6QAActdkSIAALaFpg4AAP-Wow8AJUPcAAPubQBlvK9voATlqljZTE2cOwiDebHsvgADwno/4/SMwymORcMpW9jn9HykvyZg/aHR0cHM6Ly93d3cucmVnaXN0ZXJmb3JldmVudC5jby51ay9hcHR1azIwMjQ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t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7e8zrtH8J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uk\OneDrive\Documents\Custom%20Office%20Templates\General%20Document%20-%20Portrait%202024.dotx" TargetMode="External"/></Relationships>
</file>

<file path=word/theme/theme1.xml><?xml version="1.0" encoding="utf-8"?>
<a:theme xmlns:a="http://schemas.openxmlformats.org/drawingml/2006/main" name="Office Theme">
  <a:themeElements>
    <a:clrScheme name="APTUK">
      <a:dk1>
        <a:sysClr val="windowText" lastClr="000000"/>
      </a:dk1>
      <a:lt1>
        <a:sysClr val="window" lastClr="FFFFFF"/>
      </a:lt1>
      <a:dk2>
        <a:srgbClr val="44546A"/>
      </a:dk2>
      <a:lt2>
        <a:srgbClr val="E7E6E6"/>
      </a:lt2>
      <a:accent1>
        <a:srgbClr val="0070C0"/>
      </a:accent1>
      <a:accent2>
        <a:srgbClr val="FF6600"/>
      </a:accent2>
      <a:accent3>
        <a:srgbClr val="A5A5A5"/>
      </a:accent3>
      <a:accent4>
        <a:srgbClr val="FFC000"/>
      </a:accent4>
      <a:accent5>
        <a:srgbClr val="171796"/>
      </a:accent5>
      <a:accent6>
        <a:srgbClr val="9D825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07AE29D10E8D47B8ABE1640FA1BBDA" ma:contentTypeVersion="18" ma:contentTypeDescription="Create a new document." ma:contentTypeScope="" ma:versionID="baacf22965f5620f140bf895e84f439b">
  <xsd:schema xmlns:xsd="http://www.w3.org/2001/XMLSchema" xmlns:xs="http://www.w3.org/2001/XMLSchema" xmlns:p="http://schemas.microsoft.com/office/2006/metadata/properties" xmlns:ns2="d2d44e5f-5016-442e-8316-09ce0b18f75d" xmlns:ns3="c9ff6eef-a69a-48e0-8d06-5bebfcdc2269" targetNamespace="http://schemas.microsoft.com/office/2006/metadata/properties" ma:root="true" ma:fieldsID="0618dfeaa51d35c80f14d018fa12a6c3" ns2:_="" ns3:_="">
    <xsd:import namespace="d2d44e5f-5016-442e-8316-09ce0b18f75d"/>
    <xsd:import namespace="c9ff6eef-a69a-48e0-8d06-5bebfcdc2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4e5f-5016-442e-8316-09ce0b1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d1d0c8-9aa3-4ca5-ab05-c00becb1927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f6eef-a69a-48e0-8d06-5bebfcdc2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1288b-943b-4966-a37e-cbea76be7854}" ma:internalName="TaxCatchAll" ma:showField="CatchAllData" ma:web="c9ff6eef-a69a-48e0-8d06-5bebfcdc2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ff6eef-a69a-48e0-8d06-5bebfcdc2269">
      <UserInfo>
        <DisplayName/>
        <AccountId xsi:nil="true"/>
        <AccountType/>
      </UserInfo>
    </SharedWithUsers>
    <TaxCatchAll xmlns="c9ff6eef-a69a-48e0-8d06-5bebfcdc2269" xsi:nil="true"/>
    <lcf76f155ced4ddcb4097134ff3c332f xmlns="d2d44e5f-5016-442e-8316-09ce0b18f7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C059A-5C19-481B-9B1E-4ABEF00D98A9}">
  <ds:schemaRefs>
    <ds:schemaRef ds:uri="http://schemas.openxmlformats.org/officeDocument/2006/bibliography"/>
  </ds:schemaRefs>
</ds:datastoreItem>
</file>

<file path=customXml/itemProps2.xml><?xml version="1.0" encoding="utf-8"?>
<ds:datastoreItem xmlns:ds="http://schemas.openxmlformats.org/officeDocument/2006/customXml" ds:itemID="{DB7938D4-E67B-49B1-AE37-914C174B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4e5f-5016-442e-8316-09ce0b18f75d"/>
    <ds:schemaRef ds:uri="c9ff6eef-a69a-48e0-8d06-5bebfcdc2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ADADC-A5C4-4D82-94C1-B8559CAB6C01}">
  <ds:schemaRefs>
    <ds:schemaRef ds:uri="http://schemas.microsoft.com/sharepoint/v3/contenttype/forms"/>
  </ds:schemaRefs>
</ds:datastoreItem>
</file>

<file path=customXml/itemProps4.xml><?xml version="1.0" encoding="utf-8"?>
<ds:datastoreItem xmlns:ds="http://schemas.openxmlformats.org/officeDocument/2006/customXml" ds:itemID="{A85567CA-5D6F-4833-A759-3F51548529D7}">
  <ds:schemaRefs>
    <ds:schemaRef ds:uri="http://schemas.microsoft.com/office/2006/metadata/properties"/>
    <ds:schemaRef ds:uri="http://schemas.microsoft.com/office/infopath/2007/PartnerControls"/>
    <ds:schemaRef ds:uri="c9ff6eef-a69a-48e0-8d06-5bebfcdc2269"/>
    <ds:schemaRef ds:uri="d2d44e5f-5016-442e-8316-09ce0b18f75d"/>
  </ds:schemaRefs>
</ds:datastoreItem>
</file>

<file path=docProps/app.xml><?xml version="1.0" encoding="utf-8"?>
<Properties xmlns="http://schemas.openxmlformats.org/officeDocument/2006/extended-properties" xmlns:vt="http://schemas.openxmlformats.org/officeDocument/2006/docPropsVTypes">
  <Template>General Document - Portrait 2024</Template>
  <TotalTime>1</TotalTime>
  <Pages>2</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Hope</dc:creator>
  <cp:keywords/>
  <cp:lastModifiedBy>Kathryn Jones</cp:lastModifiedBy>
  <cp:revision>2</cp:revision>
  <dcterms:created xsi:type="dcterms:W3CDTF">2024-05-28T08:19:00Z</dcterms:created>
  <dcterms:modified xsi:type="dcterms:W3CDTF">2024-05-28T08:19:00Z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0x010100AB07AE29D10E8D47B8ABE1640FA1BBDA</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