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09EA7" w14:textId="19941634" w:rsidR="00E6662A" w:rsidRDefault="001143D4" w:rsidP="00E6662A">
      <w:r>
        <w:t>The aim of this factsheet is to support community pharmac</w:t>
      </w:r>
      <w:r w:rsidR="00D85A56">
        <w:t>y colleagues</w:t>
      </w:r>
      <w:r w:rsidR="000F329C">
        <w:t xml:space="preserve"> manage situations where </w:t>
      </w:r>
      <w:r w:rsidR="005E67E7">
        <w:t xml:space="preserve">instalment prescriptions are </w:t>
      </w:r>
      <w:r w:rsidR="000F329C">
        <w:t xml:space="preserve">collected by a representative. </w:t>
      </w:r>
    </w:p>
    <w:p w14:paraId="0F709EA8" w14:textId="77777777" w:rsidR="000C707A" w:rsidRDefault="000C707A" w:rsidP="000C707A">
      <w:pPr>
        <w:rPr>
          <w:b/>
        </w:rPr>
      </w:pPr>
      <w:r>
        <w:rPr>
          <w:b/>
        </w:rPr>
        <w:t xml:space="preserve">Supervised Consumption: </w:t>
      </w:r>
    </w:p>
    <w:p w14:paraId="0F709EA9" w14:textId="48E752B2" w:rsidR="000C707A" w:rsidRPr="000C707A" w:rsidRDefault="000F329C" w:rsidP="000C707A">
      <w:pPr>
        <w:pStyle w:val="ListParagraph"/>
        <w:numPr>
          <w:ilvl w:val="0"/>
          <w:numId w:val="7"/>
        </w:numPr>
        <w:rPr>
          <w:b/>
        </w:rPr>
      </w:pPr>
      <w:r w:rsidRPr="000C707A">
        <w:t xml:space="preserve">If the prescription </w:t>
      </w:r>
      <w:r w:rsidR="001143D4" w:rsidRPr="000C707A">
        <w:t>state</w:t>
      </w:r>
      <w:r w:rsidR="001143D4">
        <w:t>s</w:t>
      </w:r>
      <w:r w:rsidR="001143D4" w:rsidRPr="000C707A">
        <w:t xml:space="preserve"> a dose is</w:t>
      </w:r>
      <w:r w:rsidRPr="000C707A">
        <w:t xml:space="preserve"> to be supervised the medication </w:t>
      </w:r>
      <w:r w:rsidRPr="000C707A">
        <w:rPr>
          <w:b/>
        </w:rPr>
        <w:t>must not</w:t>
      </w:r>
      <w:r w:rsidRPr="000C707A">
        <w:t xml:space="preserve"> be given to a representative unless this </w:t>
      </w:r>
      <w:r w:rsidR="00816D21">
        <w:t>is confirmed as appropriate by</w:t>
      </w:r>
      <w:r w:rsidRPr="000C707A">
        <w:t xml:space="preserve"> the </w:t>
      </w:r>
      <w:r w:rsidR="00184759">
        <w:t>Waythrough</w:t>
      </w:r>
      <w:r w:rsidRPr="000C707A">
        <w:t xml:space="preserve"> prescriber</w:t>
      </w:r>
      <w:r w:rsidR="001143D4">
        <w:t xml:space="preserve"> or their representative</w:t>
      </w:r>
      <w:r w:rsidR="00816D21">
        <w:t xml:space="preserve"> </w:t>
      </w:r>
      <w:r w:rsidR="00B43613">
        <w:t xml:space="preserve">acting on the instruction of the prescriber </w:t>
      </w:r>
      <w:r w:rsidR="00816D21">
        <w:t>in th</w:t>
      </w:r>
      <w:r w:rsidR="005E67E7">
        <w:t>e</w:t>
      </w:r>
      <w:r w:rsidR="00816D21">
        <w:t xml:space="preserve"> service</w:t>
      </w:r>
      <w:r w:rsidRPr="000C707A">
        <w:t xml:space="preserve">. </w:t>
      </w:r>
    </w:p>
    <w:p w14:paraId="0F709EAA" w14:textId="1AE27FF9" w:rsidR="000C707A" w:rsidRPr="001143D4" w:rsidRDefault="000F329C" w:rsidP="000C707A">
      <w:pPr>
        <w:pStyle w:val="ListParagraph"/>
        <w:numPr>
          <w:ilvl w:val="0"/>
          <w:numId w:val="7"/>
        </w:numPr>
        <w:rPr>
          <w:b/>
        </w:rPr>
      </w:pPr>
      <w:r w:rsidRPr="000C707A">
        <w:t xml:space="preserve">If an attempt is made for a representative to collect medication for a supervised </w:t>
      </w:r>
      <w:r w:rsidR="005E67E7" w:rsidRPr="000C707A">
        <w:t>dose,</w:t>
      </w:r>
      <w:r w:rsidRPr="000C707A">
        <w:t xml:space="preserve"> please </w:t>
      </w:r>
      <w:r w:rsidRPr="000C707A">
        <w:rPr>
          <w:b/>
        </w:rPr>
        <w:t xml:space="preserve">contact your </w:t>
      </w:r>
      <w:r w:rsidR="001456FB">
        <w:rPr>
          <w:b/>
        </w:rPr>
        <w:t>Together Devon</w:t>
      </w:r>
      <w:r w:rsidRPr="000C707A">
        <w:rPr>
          <w:b/>
        </w:rPr>
        <w:t xml:space="preserve"> service immediately</w:t>
      </w:r>
      <w:r w:rsidRPr="000C707A">
        <w:t>.</w:t>
      </w:r>
    </w:p>
    <w:p w14:paraId="0F709EAB" w14:textId="6AECCE7C" w:rsidR="00816D21" w:rsidRPr="00816D21" w:rsidRDefault="000F329C" w:rsidP="000C707A">
      <w:pPr>
        <w:pStyle w:val="ListParagraph"/>
        <w:numPr>
          <w:ilvl w:val="0"/>
          <w:numId w:val="7"/>
        </w:numPr>
        <w:rPr>
          <w:b/>
        </w:rPr>
      </w:pPr>
      <w:r w:rsidRPr="000C707A">
        <w:t xml:space="preserve">If the prescriber agrees to the dose being collected this should be clearly recorded on the </w:t>
      </w:r>
      <w:r w:rsidR="00816D21">
        <w:t>prescription and Patient Medication R</w:t>
      </w:r>
      <w:r w:rsidR="000C707A" w:rsidRPr="000C707A">
        <w:t>ecord (</w:t>
      </w:r>
      <w:r w:rsidRPr="000C707A">
        <w:t>PMR</w:t>
      </w:r>
      <w:r w:rsidR="000C707A" w:rsidRPr="000C707A">
        <w:t>)</w:t>
      </w:r>
      <w:r w:rsidRPr="000C707A">
        <w:t>.</w:t>
      </w:r>
    </w:p>
    <w:p w14:paraId="0F709EAC" w14:textId="3D449532" w:rsidR="000C707A" w:rsidRDefault="00816D21" w:rsidP="00816D21">
      <w:pPr>
        <w:pStyle w:val="ListParagraph"/>
        <w:numPr>
          <w:ilvl w:val="0"/>
          <w:numId w:val="7"/>
        </w:numPr>
        <w:rPr>
          <w:b/>
        </w:rPr>
      </w:pPr>
      <w:r w:rsidRPr="00816D21">
        <w:rPr>
          <w:b/>
        </w:rPr>
        <w:t>It is legally acceptable to confirm verbally</w:t>
      </w:r>
      <w:r>
        <w:rPr>
          <w:b/>
        </w:rPr>
        <w:t xml:space="preserve"> </w:t>
      </w:r>
      <w:r w:rsidRPr="00816D21">
        <w:rPr>
          <w:b/>
        </w:rPr>
        <w:t>with the prescriber that they are happy with this</w:t>
      </w:r>
      <w:r>
        <w:rPr>
          <w:b/>
        </w:rPr>
        <w:t xml:space="preserve"> </w:t>
      </w:r>
      <w:r w:rsidRPr="00816D21">
        <w:rPr>
          <w:b/>
        </w:rPr>
        <w:t>arrangement since supervision, while important, is not a legal requirement under the 2001 Regulations.</w:t>
      </w:r>
      <w:r w:rsidR="00AE1C1E">
        <w:rPr>
          <w:rStyle w:val="FootnoteReference"/>
          <w:b/>
        </w:rPr>
        <w:footnoteReference w:id="1"/>
      </w:r>
    </w:p>
    <w:p w14:paraId="7ECA0FA2" w14:textId="77777777" w:rsidR="00307A63" w:rsidRPr="00307A63" w:rsidRDefault="00816D21" w:rsidP="00816D21">
      <w:pPr>
        <w:pStyle w:val="ListParagraph"/>
        <w:numPr>
          <w:ilvl w:val="0"/>
          <w:numId w:val="7"/>
        </w:numPr>
        <w:rPr>
          <w:b/>
        </w:rPr>
      </w:pPr>
      <w:r w:rsidRPr="003645C9">
        <w:t xml:space="preserve">If the </w:t>
      </w:r>
      <w:r w:rsidR="00184759">
        <w:t>Waythrough</w:t>
      </w:r>
      <w:r w:rsidRPr="003645C9">
        <w:t xml:space="preserve"> services</w:t>
      </w:r>
      <w:r w:rsidR="003645C9">
        <w:t xml:space="preserve"> are closed and the prescriber cannot be contacted</w:t>
      </w:r>
      <w:r w:rsidR="005E67E7">
        <w:t>,</w:t>
      </w:r>
      <w:r w:rsidR="003645C9">
        <w:t xml:space="preserve"> the pharmacist should use their professional judgement. The pharmacist should take a person-centred approach based on the individual scenario.  </w:t>
      </w:r>
    </w:p>
    <w:p w14:paraId="0F709EAD" w14:textId="09899948" w:rsidR="003645C9" w:rsidRPr="003645C9" w:rsidRDefault="003645C9" w:rsidP="00307A63">
      <w:pPr>
        <w:pStyle w:val="ListParagraph"/>
        <w:rPr>
          <w:b/>
        </w:rPr>
      </w:pPr>
      <w:r>
        <w:t>Some things that should be considered include:</w:t>
      </w:r>
    </w:p>
    <w:p w14:paraId="0F709EAE" w14:textId="1B88401B" w:rsidR="003645C9" w:rsidRPr="003645C9" w:rsidRDefault="003645C9" w:rsidP="003645C9">
      <w:pPr>
        <w:pStyle w:val="ListParagraph"/>
        <w:numPr>
          <w:ilvl w:val="1"/>
          <w:numId w:val="7"/>
        </w:numPr>
        <w:rPr>
          <w:b/>
        </w:rPr>
      </w:pPr>
      <w:r>
        <w:t xml:space="preserve">The reasons the </w:t>
      </w:r>
      <w:r w:rsidR="00184759">
        <w:t>person</w:t>
      </w:r>
      <w:r>
        <w:t xml:space="preserve"> cannot collect the dose themselves</w:t>
      </w:r>
    </w:p>
    <w:p w14:paraId="0F709EAF" w14:textId="77777777" w:rsidR="003645C9" w:rsidRPr="003645C9" w:rsidRDefault="003645C9" w:rsidP="003645C9">
      <w:pPr>
        <w:pStyle w:val="ListParagraph"/>
        <w:numPr>
          <w:ilvl w:val="1"/>
          <w:numId w:val="7"/>
        </w:numPr>
        <w:rPr>
          <w:b/>
        </w:rPr>
      </w:pPr>
      <w:r>
        <w:t xml:space="preserve">Whether they are happy the representative and request is genuine </w:t>
      </w:r>
    </w:p>
    <w:p w14:paraId="0F709EB0" w14:textId="6628327E" w:rsidR="003645C9" w:rsidRPr="003645C9" w:rsidRDefault="003645C9" w:rsidP="003645C9">
      <w:pPr>
        <w:pStyle w:val="ListParagraph"/>
        <w:numPr>
          <w:ilvl w:val="1"/>
          <w:numId w:val="7"/>
        </w:numPr>
        <w:rPr>
          <w:b/>
        </w:rPr>
      </w:pPr>
      <w:r>
        <w:t xml:space="preserve">The risk for the </w:t>
      </w:r>
      <w:r w:rsidR="00184759">
        <w:t>person</w:t>
      </w:r>
      <w:r>
        <w:t xml:space="preserve"> if the dose was not supplied</w:t>
      </w:r>
      <w:r>
        <w:rPr>
          <w:rStyle w:val="FootnoteReference"/>
        </w:rPr>
        <w:footnoteReference w:id="2"/>
      </w:r>
    </w:p>
    <w:p w14:paraId="0F709EB1" w14:textId="2B87447B" w:rsidR="00816D21" w:rsidRPr="003645C9" w:rsidRDefault="003645C9" w:rsidP="003645C9">
      <w:pPr>
        <w:pStyle w:val="ListParagraph"/>
        <w:numPr>
          <w:ilvl w:val="0"/>
          <w:numId w:val="7"/>
        </w:numPr>
        <w:rPr>
          <w:b/>
        </w:rPr>
      </w:pPr>
      <w:r>
        <w:t>If a supply is made in this situation the pharmacist should inform the prescriber on the next working day</w:t>
      </w:r>
      <w:r w:rsidR="00C672F5">
        <w:rPr>
          <w:vertAlign w:val="superscript"/>
        </w:rPr>
        <w:t>2</w:t>
      </w:r>
      <w:r w:rsidRPr="003645C9">
        <w:rPr>
          <w:vertAlign w:val="superscript"/>
        </w:rPr>
        <w:t xml:space="preserve"> </w:t>
      </w:r>
    </w:p>
    <w:p w14:paraId="0F709EB2" w14:textId="1AA4CA09" w:rsidR="003645C9" w:rsidRPr="003645C9" w:rsidRDefault="003645C9" w:rsidP="003645C9">
      <w:pPr>
        <w:pStyle w:val="ListParagraph"/>
        <w:numPr>
          <w:ilvl w:val="0"/>
          <w:numId w:val="7"/>
        </w:numPr>
        <w:rPr>
          <w:b/>
        </w:rPr>
      </w:pPr>
      <w:r>
        <w:t>Pharmacists and/or Local Pharmaceutical Committees may also want to discuss this scenario with their local NHS</w:t>
      </w:r>
      <w:r w:rsidR="00F42FF9">
        <w:t xml:space="preserve"> England</w:t>
      </w:r>
      <w:r>
        <w:t xml:space="preserve"> Controlled Drug Accountable Officer (CDAO) to get their thoughts on how to respond in these situations</w:t>
      </w:r>
      <w:r w:rsidR="00C672F5">
        <w:rPr>
          <w:vertAlign w:val="superscript"/>
        </w:rPr>
        <w:t>2</w:t>
      </w:r>
    </w:p>
    <w:p w14:paraId="0F709EB4" w14:textId="77777777" w:rsidR="000C707A" w:rsidRPr="000C707A" w:rsidRDefault="000C707A" w:rsidP="00E6662A">
      <w:pPr>
        <w:rPr>
          <w:b/>
        </w:rPr>
      </w:pPr>
      <w:r w:rsidRPr="000C707A">
        <w:rPr>
          <w:b/>
        </w:rPr>
        <w:t xml:space="preserve">Take Home Doses: </w:t>
      </w:r>
    </w:p>
    <w:p w14:paraId="0F709EB5" w14:textId="5F4DDE08" w:rsidR="000C707A" w:rsidRDefault="000F329C" w:rsidP="000C707A">
      <w:pPr>
        <w:pStyle w:val="ListParagraph"/>
        <w:numPr>
          <w:ilvl w:val="0"/>
          <w:numId w:val="8"/>
        </w:numPr>
      </w:pPr>
      <w:r w:rsidRPr="000F329C">
        <w:t xml:space="preserve">If a </w:t>
      </w:r>
      <w:r w:rsidR="00184759">
        <w:t>person</w:t>
      </w:r>
      <w:r w:rsidRPr="000F329C">
        <w:t xml:space="preserve"> wants a representative to collect a dispens</w:t>
      </w:r>
      <w:r w:rsidR="0069058E">
        <w:t xml:space="preserve">ed </w:t>
      </w:r>
      <w:r w:rsidR="00307A63">
        <w:t xml:space="preserve">instalment </w:t>
      </w:r>
      <w:r w:rsidR="0069058E">
        <w:t>Controlled Drug on their</w:t>
      </w:r>
      <w:r w:rsidRPr="000F329C">
        <w:t xml:space="preserve"> behalf, pharmacists are advised to first obtai</w:t>
      </w:r>
      <w:r w:rsidR="0069058E">
        <w:t xml:space="preserve">n a letter from the </w:t>
      </w:r>
      <w:r w:rsidR="00184759">
        <w:t>person</w:t>
      </w:r>
      <w:r w:rsidRPr="000F329C">
        <w:t xml:space="preserve"> that authorises and names the representative. (This includes those detained in police custody who should supply a letter of authorisation to a police custody officer to present to the pharmacist). </w:t>
      </w:r>
    </w:p>
    <w:p w14:paraId="0F709EB6" w14:textId="09886F41" w:rsidR="000C707A" w:rsidRDefault="000F329C" w:rsidP="000C707A">
      <w:pPr>
        <w:pStyle w:val="ListParagraph"/>
        <w:numPr>
          <w:ilvl w:val="0"/>
          <w:numId w:val="8"/>
        </w:numPr>
      </w:pPr>
      <w:r w:rsidRPr="000F329C">
        <w:t>A separate letter should be obt</w:t>
      </w:r>
      <w:r w:rsidR="0069058E">
        <w:t xml:space="preserve">ained each time the </w:t>
      </w:r>
      <w:r w:rsidR="00184759">
        <w:t>person</w:t>
      </w:r>
      <w:r w:rsidRPr="000F329C">
        <w:t xml:space="preserve"> sends a representative to collect and the representative should bring identification. </w:t>
      </w:r>
    </w:p>
    <w:p w14:paraId="0F709EB7" w14:textId="77777777" w:rsidR="000C707A" w:rsidRDefault="000F329C" w:rsidP="000C707A">
      <w:pPr>
        <w:pStyle w:val="ListParagraph"/>
        <w:numPr>
          <w:ilvl w:val="0"/>
          <w:numId w:val="8"/>
        </w:numPr>
      </w:pPr>
      <w:r w:rsidRPr="000F329C">
        <w:t xml:space="preserve">The pharmacist must be satisfied that the letter is genuine. </w:t>
      </w:r>
    </w:p>
    <w:p w14:paraId="0F709EB8" w14:textId="0C00B6F4" w:rsidR="000C707A" w:rsidRDefault="000F329C" w:rsidP="000C707A">
      <w:pPr>
        <w:pStyle w:val="ListParagraph"/>
        <w:numPr>
          <w:ilvl w:val="0"/>
          <w:numId w:val="8"/>
        </w:numPr>
      </w:pPr>
      <w:r w:rsidRPr="000F329C">
        <w:t xml:space="preserve">It is good practice to insist on seeing the </w:t>
      </w:r>
      <w:r w:rsidR="00184759">
        <w:t>person</w:t>
      </w:r>
      <w:r w:rsidRPr="000F329C">
        <w:t xml:space="preserve"> </w:t>
      </w:r>
      <w:r w:rsidRPr="00816D21">
        <w:rPr>
          <w:b/>
        </w:rPr>
        <w:t>at least once a week</w:t>
      </w:r>
      <w:r w:rsidRPr="000F329C">
        <w:t xml:space="preserve"> unless th</w:t>
      </w:r>
      <w:r w:rsidR="005778FE">
        <w:t xml:space="preserve">is is known not to be possible as advised by the </w:t>
      </w:r>
      <w:r w:rsidR="00184759">
        <w:t>Waythrough</w:t>
      </w:r>
      <w:r w:rsidR="005778FE">
        <w:t xml:space="preserve"> service.</w:t>
      </w:r>
    </w:p>
    <w:p w14:paraId="0F709EB9" w14:textId="28B4B0F8" w:rsidR="005778FE" w:rsidRDefault="005778FE" w:rsidP="000C707A">
      <w:pPr>
        <w:pStyle w:val="ListParagraph"/>
        <w:numPr>
          <w:ilvl w:val="0"/>
          <w:numId w:val="8"/>
        </w:numPr>
      </w:pPr>
      <w:r>
        <w:t xml:space="preserve">If a </w:t>
      </w:r>
      <w:r w:rsidR="00184759">
        <w:t>person</w:t>
      </w:r>
      <w:r>
        <w:t xml:space="preserve"> is </w:t>
      </w:r>
      <w:r w:rsidRPr="005778FE">
        <w:rPr>
          <w:b/>
        </w:rPr>
        <w:t>not</w:t>
      </w:r>
      <w:r>
        <w:t xml:space="preserve"> seen on at least a weekly basis </w:t>
      </w:r>
      <w:r w:rsidR="00CB71F5">
        <w:t xml:space="preserve">or a long-term arrangement is in place or requested by the person prescribed OST then </w:t>
      </w:r>
      <w:r>
        <w:t xml:space="preserve">this should be discussed with the local </w:t>
      </w:r>
      <w:r w:rsidR="00184759">
        <w:lastRenderedPageBreak/>
        <w:t>Waythrough</w:t>
      </w:r>
      <w:r w:rsidR="00B43613">
        <w:t xml:space="preserve"> prescriber or the prescribers’</w:t>
      </w:r>
      <w:r>
        <w:t xml:space="preserve"> representative.  A </w:t>
      </w:r>
      <w:r w:rsidR="004C744B">
        <w:t>time-limited letter</w:t>
      </w:r>
      <w:r>
        <w:t xml:space="preserve"> may be </w:t>
      </w:r>
      <w:r w:rsidR="005C4614">
        <w:t>provided</w:t>
      </w:r>
      <w:r>
        <w:t xml:space="preserve"> in these cases which outlines the </w:t>
      </w:r>
      <w:r w:rsidR="005C4614">
        <w:t>details of the collection regime</w:t>
      </w:r>
      <w:r w:rsidR="004A547C">
        <w:t>.</w:t>
      </w:r>
      <w:r>
        <w:t xml:space="preserve"> </w:t>
      </w:r>
    </w:p>
    <w:p w14:paraId="0F709EBA" w14:textId="77777777" w:rsidR="000F329C" w:rsidRDefault="000F329C" w:rsidP="000C707A">
      <w:pPr>
        <w:pStyle w:val="ListParagraph"/>
        <w:numPr>
          <w:ilvl w:val="0"/>
          <w:numId w:val="8"/>
        </w:numPr>
      </w:pPr>
      <w:r w:rsidRPr="000F329C">
        <w:t xml:space="preserve">The record of supply in the Controlled Drug register </w:t>
      </w:r>
      <w:r w:rsidR="00816D21">
        <w:t xml:space="preserve">for schedule 2 drugs </w:t>
      </w:r>
      <w:r w:rsidRPr="000F329C">
        <w:t>should include details of the representative</w:t>
      </w:r>
      <w:r w:rsidR="0069058E">
        <w:t xml:space="preserve"> collecting the CD</w:t>
      </w:r>
      <w:r w:rsidRPr="000F329C">
        <w:t xml:space="preserve">. </w:t>
      </w:r>
    </w:p>
    <w:p w14:paraId="0F709EBB" w14:textId="77777777" w:rsidR="007072FF" w:rsidRDefault="0069058E" w:rsidP="00816D21">
      <w:pPr>
        <w:pStyle w:val="ListParagraph"/>
        <w:numPr>
          <w:ilvl w:val="0"/>
          <w:numId w:val="8"/>
        </w:numPr>
      </w:pPr>
      <w:r w:rsidRPr="000F329C">
        <w:t xml:space="preserve">The decision whether to supply </w:t>
      </w:r>
      <w:r w:rsidR="00145AE8" w:rsidRPr="000F329C">
        <w:t>or not</w:t>
      </w:r>
      <w:r w:rsidRPr="000F329C">
        <w:t xml:space="preserve"> is </w:t>
      </w:r>
      <w:r>
        <w:t xml:space="preserve">also </w:t>
      </w:r>
      <w:r w:rsidRPr="000F329C">
        <w:t xml:space="preserve">at the discretion of </w:t>
      </w:r>
      <w:r w:rsidR="007072FF" w:rsidRPr="000F329C">
        <w:t>the supplying</w:t>
      </w:r>
      <w:r w:rsidRPr="000F329C">
        <w:t xml:space="preserve"> </w:t>
      </w:r>
      <w:r>
        <w:t xml:space="preserve">pharmacist and </w:t>
      </w:r>
      <w:r w:rsidRPr="000F329C">
        <w:t xml:space="preserve">based </w:t>
      </w:r>
      <w:r w:rsidR="007072FF" w:rsidRPr="000F329C">
        <w:t>on their</w:t>
      </w:r>
      <w:r w:rsidRPr="000F329C">
        <w:t xml:space="preserve"> professional judgement</w:t>
      </w:r>
      <w:r w:rsidR="00145AE8">
        <w:t>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263"/>
        <w:gridCol w:w="3081"/>
        <w:gridCol w:w="2736"/>
      </w:tblGrid>
      <w:tr w:rsidR="000F329C" w14:paraId="0F709EBF" w14:textId="77777777" w:rsidTr="002D5BE2">
        <w:tc>
          <w:tcPr>
            <w:tcW w:w="2263" w:type="dxa"/>
            <w:shd w:val="clear" w:color="auto" w:fill="E5B8B7" w:themeFill="accent2" w:themeFillTint="66"/>
          </w:tcPr>
          <w:p w14:paraId="0F709EBC" w14:textId="77777777" w:rsidR="000F329C" w:rsidRPr="000F329C" w:rsidRDefault="000F329C" w:rsidP="00E6662A">
            <w:pPr>
              <w:rPr>
                <w:b/>
              </w:rPr>
            </w:pPr>
            <w:r w:rsidRPr="000F329C">
              <w:rPr>
                <w:b/>
              </w:rPr>
              <w:t>Person collecting</w:t>
            </w:r>
          </w:p>
        </w:tc>
        <w:tc>
          <w:tcPr>
            <w:tcW w:w="3081" w:type="dxa"/>
            <w:shd w:val="clear" w:color="auto" w:fill="E5B8B7" w:themeFill="accent2" w:themeFillTint="66"/>
          </w:tcPr>
          <w:p w14:paraId="0F709EBD" w14:textId="77777777" w:rsidR="000F329C" w:rsidRPr="000F329C" w:rsidRDefault="000F329C" w:rsidP="00E6662A">
            <w:pPr>
              <w:rPr>
                <w:b/>
              </w:rPr>
            </w:pPr>
            <w:r w:rsidRPr="000F329C">
              <w:rPr>
                <w:b/>
              </w:rPr>
              <w:t>Action</w:t>
            </w:r>
          </w:p>
        </w:tc>
        <w:tc>
          <w:tcPr>
            <w:tcW w:w="2736" w:type="dxa"/>
            <w:shd w:val="clear" w:color="auto" w:fill="E5B8B7" w:themeFill="accent2" w:themeFillTint="66"/>
          </w:tcPr>
          <w:p w14:paraId="0F709EBE" w14:textId="77777777" w:rsidR="000F329C" w:rsidRPr="000F329C" w:rsidRDefault="000F329C" w:rsidP="00E6662A">
            <w:pPr>
              <w:rPr>
                <w:b/>
              </w:rPr>
            </w:pPr>
            <w:r w:rsidRPr="000F329C">
              <w:rPr>
                <w:b/>
              </w:rPr>
              <w:t xml:space="preserve">Notes </w:t>
            </w:r>
          </w:p>
        </w:tc>
      </w:tr>
      <w:tr w:rsidR="000F329C" w14:paraId="0F709EC3" w14:textId="77777777" w:rsidTr="002D5BE2">
        <w:tc>
          <w:tcPr>
            <w:tcW w:w="2263" w:type="dxa"/>
          </w:tcPr>
          <w:p w14:paraId="0F709EC0" w14:textId="0E78A1F1" w:rsidR="000F329C" w:rsidRDefault="00184759" w:rsidP="00E6662A">
            <w:r>
              <w:t>Person</w:t>
            </w:r>
            <w:r w:rsidR="000F329C">
              <w:t xml:space="preserve"> or </w:t>
            </w:r>
            <w:r>
              <w:t>person</w:t>
            </w:r>
            <w:r w:rsidR="000F329C">
              <w:t>’s representative</w:t>
            </w:r>
          </w:p>
        </w:tc>
        <w:tc>
          <w:tcPr>
            <w:tcW w:w="3081" w:type="dxa"/>
          </w:tcPr>
          <w:p w14:paraId="0F709EC1" w14:textId="77777777" w:rsidR="000F329C" w:rsidRDefault="000F329C" w:rsidP="00E6662A">
            <w:r w:rsidRPr="000F329C">
              <w:t>Pharmacist may request evidence of that person’s identity, unless already known to the pharmacist</w:t>
            </w:r>
          </w:p>
        </w:tc>
        <w:tc>
          <w:tcPr>
            <w:tcW w:w="2736" w:type="dxa"/>
          </w:tcPr>
          <w:p w14:paraId="0F709EC2" w14:textId="77777777" w:rsidR="000F329C" w:rsidRDefault="000F329C" w:rsidP="00E6662A">
            <w:r w:rsidRPr="000F329C">
              <w:t>The decision whether to supply or  not is at the discretion of the  supplying pharmacist – based on  their professional judgement</w:t>
            </w:r>
          </w:p>
        </w:tc>
      </w:tr>
    </w:tbl>
    <w:p w14:paraId="0F709EC4" w14:textId="4F6570B7" w:rsidR="000C707A" w:rsidRDefault="00A750B5" w:rsidP="000C707A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09ED7" wp14:editId="1C0DFC36">
                <wp:simplePos x="0" y="0"/>
                <wp:positionH relativeFrom="column">
                  <wp:posOffset>444500</wp:posOffset>
                </wp:positionH>
                <wp:positionV relativeFrom="paragraph">
                  <wp:posOffset>288290</wp:posOffset>
                </wp:positionV>
                <wp:extent cx="5105400" cy="615950"/>
                <wp:effectExtent l="0" t="0" r="19050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09EE4" w14:textId="77777777" w:rsidR="007072FF" w:rsidRDefault="00A750B5" w:rsidP="007072FF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This document provides guidance for pharmacies only. </w:t>
                            </w:r>
                          </w:p>
                          <w:p w14:paraId="0F709EE5" w14:textId="77777777" w:rsidR="00A750B5" w:rsidRDefault="00A750B5" w:rsidP="007072FF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Pharmacies should always refer to their own SOPs when managing incidents in their pharmacies.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09ED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5pt;margin-top:22.7pt;width:402pt;height: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">
                <v:textbox>
                  <w:txbxContent>
                    <w:p w14:paraId="0F709EE4" w14:textId="77777777" w:rsidR="007072FF" w:rsidRDefault="00A750B5" w:rsidP="007072FF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This document provides guidance for pharmacies only. </w:t>
                      </w:r>
                    </w:p>
                    <w:p w14:paraId="0F709EE5" w14:textId="77777777" w:rsidR="00A750B5" w:rsidRDefault="00A750B5" w:rsidP="007072FF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Pharmacies should always refer to their own SOPs when managing incidents in their pharmacies.</w:t>
                      </w:r>
                    </w:p>
                  </w:txbxContent>
                </v:textbox>
              </v:shape>
            </w:pict>
          </mc:Fallback>
        </mc:AlternateContent>
      </w:r>
      <w:r w:rsidR="00EB7D9C">
        <w:rPr>
          <w:b/>
        </w:rPr>
        <w:t xml:space="preserve">              </w:t>
      </w:r>
      <w:r w:rsidR="000F329C" w:rsidRPr="000C707A">
        <w:rPr>
          <w:b/>
        </w:rPr>
        <w:t>Table 1:</w:t>
      </w:r>
      <w:r w:rsidR="000F329C">
        <w:t xml:space="preserve"> Adapted from </w:t>
      </w:r>
      <w:r w:rsidR="000C707A" w:rsidRPr="000C707A">
        <w:t xml:space="preserve">Medicines, Ethics and Practice </w:t>
      </w:r>
      <w:r w:rsidR="007072FF">
        <w:t>(43</w:t>
      </w:r>
      <w:r w:rsidR="0069058E">
        <w:t>)</w:t>
      </w:r>
    </w:p>
    <w:p w14:paraId="0F709EC5" w14:textId="77777777" w:rsidR="00145AE8" w:rsidRDefault="00145AE8" w:rsidP="000C707A">
      <w:pPr>
        <w:spacing w:after="0"/>
        <w:rPr>
          <w:b/>
        </w:rPr>
      </w:pPr>
    </w:p>
    <w:p w14:paraId="0F709EC6" w14:textId="77777777" w:rsidR="00A750B5" w:rsidRDefault="00A750B5" w:rsidP="000C707A">
      <w:pPr>
        <w:spacing w:after="0"/>
        <w:rPr>
          <w:b/>
        </w:rPr>
      </w:pPr>
    </w:p>
    <w:p w14:paraId="0F709EC7" w14:textId="77777777" w:rsidR="00A750B5" w:rsidRDefault="00A750B5" w:rsidP="000C707A">
      <w:pPr>
        <w:spacing w:after="0"/>
        <w:rPr>
          <w:b/>
        </w:rPr>
      </w:pPr>
    </w:p>
    <w:p w14:paraId="66A45B6E" w14:textId="77777777" w:rsidR="002D5BE2" w:rsidRDefault="002D5BE2" w:rsidP="000C707A">
      <w:pPr>
        <w:spacing w:after="0"/>
        <w:rPr>
          <w:b/>
        </w:rPr>
      </w:pPr>
    </w:p>
    <w:p w14:paraId="0F709EC8" w14:textId="5F915CDC" w:rsidR="000F329C" w:rsidRPr="000C707A" w:rsidRDefault="000F329C" w:rsidP="000C707A">
      <w:pPr>
        <w:spacing w:after="0"/>
        <w:rPr>
          <w:b/>
        </w:rPr>
      </w:pPr>
      <w:r w:rsidRPr="000C707A">
        <w:rPr>
          <w:b/>
        </w:rPr>
        <w:t xml:space="preserve">References: </w:t>
      </w:r>
    </w:p>
    <w:p w14:paraId="0F709EC9" w14:textId="6D059EEB" w:rsidR="00E6662A" w:rsidRPr="00E6662A" w:rsidRDefault="000C707A" w:rsidP="00E6662A">
      <w:pPr>
        <w:rPr>
          <w:b/>
        </w:rPr>
      </w:pPr>
      <w:r>
        <w:t xml:space="preserve">Royal Pharmaceutical Society: </w:t>
      </w:r>
      <w:r w:rsidRPr="000C707A">
        <w:t>Medicines, Ethics and Practice</w:t>
      </w:r>
      <w:r w:rsidR="00203F92">
        <w:t xml:space="preserve"> (online)</w:t>
      </w:r>
    </w:p>
    <w:p w14:paraId="0F709ECA" w14:textId="77777777" w:rsidR="00145AE8" w:rsidRDefault="00145AE8" w:rsidP="00AD76EA"/>
    <w:p w14:paraId="0F709ECB" w14:textId="77777777" w:rsidR="00145AE8" w:rsidRDefault="00145AE8" w:rsidP="00AD76EA"/>
    <w:p w14:paraId="0F709ECC" w14:textId="77777777" w:rsidR="00145AE8" w:rsidRDefault="00145AE8" w:rsidP="00AD76EA"/>
    <w:p w14:paraId="0F709ECD" w14:textId="77777777" w:rsidR="00145AE8" w:rsidRDefault="00145AE8" w:rsidP="00AD76EA"/>
    <w:p w14:paraId="0F709ECE" w14:textId="77777777" w:rsidR="00145AE8" w:rsidRDefault="00145AE8" w:rsidP="00AD76EA"/>
    <w:p w14:paraId="0F709ECF" w14:textId="77777777" w:rsidR="00145AE8" w:rsidRDefault="00145AE8" w:rsidP="00AD76EA"/>
    <w:p w14:paraId="0F709ED0" w14:textId="77777777" w:rsidR="00145AE8" w:rsidRDefault="00145AE8" w:rsidP="00AD76EA"/>
    <w:p w14:paraId="0F709ED1" w14:textId="77777777" w:rsidR="00145AE8" w:rsidRDefault="00145AE8" w:rsidP="00AD76EA"/>
    <w:p w14:paraId="0F709ED2" w14:textId="77777777" w:rsidR="00145AE8" w:rsidRDefault="00145AE8" w:rsidP="00AD76EA"/>
    <w:p w14:paraId="0F709ED3" w14:textId="77777777" w:rsidR="00A750B5" w:rsidRDefault="00A750B5" w:rsidP="00AD76EA"/>
    <w:p w14:paraId="0F709ED4" w14:textId="77777777" w:rsidR="00145AE8" w:rsidRDefault="00145AE8" w:rsidP="00AD76EA"/>
    <w:p w14:paraId="0F709ED5" w14:textId="77777777" w:rsidR="00145AE8" w:rsidRDefault="00145AE8" w:rsidP="00AD76EA"/>
    <w:p w14:paraId="0F709ED6" w14:textId="7F8DDB6A" w:rsidR="00145AE8" w:rsidRPr="00AD76EA" w:rsidRDefault="00145AE8" w:rsidP="00145AE8">
      <w:pPr>
        <w:jc w:val="center"/>
      </w:pPr>
      <w:r>
        <w:t xml:space="preserve">Produced by </w:t>
      </w:r>
      <w:r w:rsidR="00184759">
        <w:t>Waythrough</w:t>
      </w:r>
      <w:r>
        <w:t xml:space="preserve"> Pharmacy Support Service</w:t>
      </w:r>
    </w:p>
    <w:sectPr w:rsidR="00145AE8" w:rsidRPr="00AD76EA" w:rsidSect="00BE02E9">
      <w:headerReference w:type="default" r:id="rId8"/>
      <w:footerReference w:type="default" r:id="rId9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09EDB" w14:textId="77777777" w:rsidR="00F32E6B" w:rsidRDefault="00F32E6B" w:rsidP="00045414">
      <w:pPr>
        <w:spacing w:after="0" w:line="240" w:lineRule="auto"/>
      </w:pPr>
      <w:r>
        <w:separator/>
      </w:r>
    </w:p>
  </w:endnote>
  <w:endnote w:type="continuationSeparator" w:id="0">
    <w:p w14:paraId="0F709EDC" w14:textId="77777777" w:rsidR="00F32E6B" w:rsidRDefault="00F32E6B" w:rsidP="0004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9EDF" w14:textId="6B626151" w:rsidR="00045414" w:rsidRDefault="007072FF" w:rsidP="00816D21">
    <w:pPr>
      <w:pStyle w:val="Footer"/>
      <w:jc w:val="center"/>
    </w:pPr>
    <w:r>
      <w:t xml:space="preserve">V1.0 </w:t>
    </w:r>
    <w:r w:rsidR="00203F92">
      <w:t>October</w:t>
    </w:r>
    <w:r>
      <w:t xml:space="preserve"> 202</w:t>
    </w:r>
    <w:r w:rsidR="00203F92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09ED9" w14:textId="77777777" w:rsidR="00F32E6B" w:rsidRDefault="00F32E6B" w:rsidP="00045414">
      <w:pPr>
        <w:spacing w:after="0" w:line="240" w:lineRule="auto"/>
      </w:pPr>
      <w:r>
        <w:separator/>
      </w:r>
    </w:p>
  </w:footnote>
  <w:footnote w:type="continuationSeparator" w:id="0">
    <w:p w14:paraId="0F709EDA" w14:textId="77777777" w:rsidR="00F32E6B" w:rsidRDefault="00F32E6B" w:rsidP="00045414">
      <w:pPr>
        <w:spacing w:after="0" w:line="240" w:lineRule="auto"/>
      </w:pPr>
      <w:r>
        <w:continuationSeparator/>
      </w:r>
    </w:p>
  </w:footnote>
  <w:footnote w:id="1">
    <w:p w14:paraId="0B1C617B" w14:textId="57B1AFB5" w:rsidR="00AE1C1E" w:rsidRDefault="00AE1C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E2525">
        <w:t xml:space="preserve">MEP (online) </w:t>
      </w:r>
      <w:r w:rsidR="004F1563">
        <w:t xml:space="preserve">3. Underpinning Knowledge – Legislation and Professional Issues: </w:t>
      </w:r>
      <w:r w:rsidR="00DE2525">
        <w:t>3.6.8 Collection of dispensed Controlled Drugs</w:t>
      </w:r>
      <w:r w:rsidR="004F1563">
        <w:t xml:space="preserve">. Available at </w:t>
      </w:r>
      <w:hyperlink r:id="rId1" w:anchor="gsc.tab=0" w:history="1">
        <w:r w:rsidR="002B10CB" w:rsidRPr="002B10CB">
          <w:rPr>
            <w:rStyle w:val="Hyperlink"/>
          </w:rPr>
          <w:t>3.6.8 Collection of dispensed Controlled Drugs</w:t>
        </w:r>
      </w:hyperlink>
      <w:r w:rsidR="002B10CB">
        <w:t xml:space="preserve"> (accessed 23/10/2025 – RPS Members only)</w:t>
      </w:r>
    </w:p>
  </w:footnote>
  <w:footnote w:id="2">
    <w:p w14:paraId="0F709EE3" w14:textId="77777777" w:rsidR="003645C9" w:rsidRDefault="003645C9">
      <w:pPr>
        <w:pStyle w:val="FootnoteText"/>
      </w:pPr>
      <w:r>
        <w:rPr>
          <w:rStyle w:val="FootnoteReference"/>
        </w:rPr>
        <w:footnoteRef/>
      </w:r>
      <w:r>
        <w:t xml:space="preserve"> Personal communication (email) with the Royal Pharmaceutical Society Professional Support (27/06/2019)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661BD" w14:textId="0C810D6C" w:rsidR="005E67E7" w:rsidRDefault="00DD4D2E" w:rsidP="001143D4">
    <w:pPr>
      <w:pStyle w:val="Header"/>
      <w:jc w:val="center"/>
      <w:rPr>
        <w:b/>
      </w:rPr>
    </w:pPr>
    <w:r>
      <w:rPr>
        <w:noProof/>
      </w:rPr>
      <w:drawing>
        <wp:anchor distT="0" distB="0" distL="114300" distR="114300" simplePos="0" relativeHeight="251657216" behindDoc="0" locked="1" layoutInCell="1" allowOverlap="1" wp14:anchorId="03B96399" wp14:editId="67DECDA8">
          <wp:simplePos x="0" y="0"/>
          <wp:positionH relativeFrom="margin">
            <wp:posOffset>4451350</wp:posOffset>
          </wp:positionH>
          <wp:positionV relativeFrom="page">
            <wp:posOffset>279400</wp:posOffset>
          </wp:positionV>
          <wp:extent cx="2022475" cy="476250"/>
          <wp:effectExtent l="0" t="0" r="0" b="0"/>
          <wp:wrapNone/>
          <wp:docPr id="526353537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220528" name="Picture 2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247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43D4">
      <w:rPr>
        <w:b/>
      </w:rPr>
      <w:tab/>
    </w:r>
  </w:p>
  <w:p w14:paraId="0F709EDD" w14:textId="5DCEFA61" w:rsidR="00E33B92" w:rsidRDefault="001143D4" w:rsidP="00DD4D2E">
    <w:pPr>
      <w:pStyle w:val="Header"/>
    </w:pPr>
    <w:r>
      <w:rPr>
        <w:b/>
      </w:rPr>
      <w:t>Factsheet</w:t>
    </w:r>
    <w:r w:rsidR="00F80B50">
      <w:rPr>
        <w:b/>
      </w:rPr>
      <w:t xml:space="preserve"> 2</w:t>
    </w:r>
    <w:r w:rsidR="005E67E7">
      <w:rPr>
        <w:b/>
      </w:rPr>
      <w:t xml:space="preserve">: </w:t>
    </w:r>
    <w:r w:rsidR="000F329C">
      <w:rPr>
        <w:b/>
      </w:rPr>
      <w:t xml:space="preserve">Collection </w:t>
    </w:r>
    <w:r w:rsidR="005E67E7">
      <w:rPr>
        <w:b/>
      </w:rPr>
      <w:t xml:space="preserve">of </w:t>
    </w:r>
    <w:r w:rsidR="00203F92">
      <w:rPr>
        <w:b/>
      </w:rPr>
      <w:t xml:space="preserve">an </w:t>
    </w:r>
    <w:r w:rsidR="005E67E7">
      <w:rPr>
        <w:b/>
      </w:rPr>
      <w:t xml:space="preserve">instalment prescription </w:t>
    </w:r>
    <w:r w:rsidR="000F329C">
      <w:rPr>
        <w:b/>
      </w:rPr>
      <w:t>by a representative</w:t>
    </w:r>
  </w:p>
  <w:p w14:paraId="0F709EDE" w14:textId="77777777" w:rsidR="00E33B92" w:rsidRDefault="00E33B92" w:rsidP="00BE02E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75FCB"/>
    <w:multiLevelType w:val="hybridMultilevel"/>
    <w:tmpl w:val="86DC42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E2ED0"/>
    <w:multiLevelType w:val="hybridMultilevel"/>
    <w:tmpl w:val="50BEE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84688"/>
    <w:multiLevelType w:val="hybridMultilevel"/>
    <w:tmpl w:val="29FAC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B1C9F"/>
    <w:multiLevelType w:val="hybridMultilevel"/>
    <w:tmpl w:val="4CFE0B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B5244"/>
    <w:multiLevelType w:val="hybridMultilevel"/>
    <w:tmpl w:val="95046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B76FE"/>
    <w:multiLevelType w:val="hybridMultilevel"/>
    <w:tmpl w:val="90827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90C39"/>
    <w:multiLevelType w:val="hybridMultilevel"/>
    <w:tmpl w:val="1EA88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4262A"/>
    <w:multiLevelType w:val="hybridMultilevel"/>
    <w:tmpl w:val="BC885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947398">
    <w:abstractNumId w:val="4"/>
  </w:num>
  <w:num w:numId="2" w16cid:durableId="1633753823">
    <w:abstractNumId w:val="1"/>
  </w:num>
  <w:num w:numId="3" w16cid:durableId="1509565914">
    <w:abstractNumId w:val="7"/>
  </w:num>
  <w:num w:numId="4" w16cid:durableId="189221090">
    <w:abstractNumId w:val="3"/>
  </w:num>
  <w:num w:numId="5" w16cid:durableId="83958746">
    <w:abstractNumId w:val="0"/>
  </w:num>
  <w:num w:numId="6" w16cid:durableId="1892841889">
    <w:abstractNumId w:val="5"/>
  </w:num>
  <w:num w:numId="7" w16cid:durableId="563296311">
    <w:abstractNumId w:val="6"/>
  </w:num>
  <w:num w:numId="8" w16cid:durableId="1146706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04"/>
    <w:rsid w:val="00045414"/>
    <w:rsid w:val="00052794"/>
    <w:rsid w:val="000C707A"/>
    <w:rsid w:val="000F329C"/>
    <w:rsid w:val="001143D4"/>
    <w:rsid w:val="0013213D"/>
    <w:rsid w:val="001456FB"/>
    <w:rsid w:val="00145AE8"/>
    <w:rsid w:val="00184759"/>
    <w:rsid w:val="00203F92"/>
    <w:rsid w:val="00210DB1"/>
    <w:rsid w:val="002B10CB"/>
    <w:rsid w:val="002D5BE2"/>
    <w:rsid w:val="00307A63"/>
    <w:rsid w:val="00345D9E"/>
    <w:rsid w:val="003645C9"/>
    <w:rsid w:val="00393B26"/>
    <w:rsid w:val="003D5659"/>
    <w:rsid w:val="004A547C"/>
    <w:rsid w:val="004C744B"/>
    <w:rsid w:val="004F1563"/>
    <w:rsid w:val="005778FE"/>
    <w:rsid w:val="005C4614"/>
    <w:rsid w:val="005D55A2"/>
    <w:rsid w:val="005E67E7"/>
    <w:rsid w:val="00612BE6"/>
    <w:rsid w:val="00663F28"/>
    <w:rsid w:val="00667F0E"/>
    <w:rsid w:val="00686EA3"/>
    <w:rsid w:val="0069058E"/>
    <w:rsid w:val="006C4904"/>
    <w:rsid w:val="006C5FD7"/>
    <w:rsid w:val="007072FF"/>
    <w:rsid w:val="00710067"/>
    <w:rsid w:val="00710086"/>
    <w:rsid w:val="0079031A"/>
    <w:rsid w:val="007B45BD"/>
    <w:rsid w:val="00816D21"/>
    <w:rsid w:val="00856E1B"/>
    <w:rsid w:val="0087444A"/>
    <w:rsid w:val="00942A1F"/>
    <w:rsid w:val="00A01B2E"/>
    <w:rsid w:val="00A07BA4"/>
    <w:rsid w:val="00A750B5"/>
    <w:rsid w:val="00A80864"/>
    <w:rsid w:val="00AA1718"/>
    <w:rsid w:val="00AD76EA"/>
    <w:rsid w:val="00AE1C1E"/>
    <w:rsid w:val="00B43613"/>
    <w:rsid w:val="00B71A15"/>
    <w:rsid w:val="00BE02E9"/>
    <w:rsid w:val="00C14163"/>
    <w:rsid w:val="00C672F5"/>
    <w:rsid w:val="00C701A2"/>
    <w:rsid w:val="00C95EBB"/>
    <w:rsid w:val="00CB71F5"/>
    <w:rsid w:val="00CC7B06"/>
    <w:rsid w:val="00D076C3"/>
    <w:rsid w:val="00D11A9E"/>
    <w:rsid w:val="00D52122"/>
    <w:rsid w:val="00D85A56"/>
    <w:rsid w:val="00D85B44"/>
    <w:rsid w:val="00DD4D2E"/>
    <w:rsid w:val="00DE2525"/>
    <w:rsid w:val="00E25693"/>
    <w:rsid w:val="00E33B92"/>
    <w:rsid w:val="00E6662A"/>
    <w:rsid w:val="00E80AE5"/>
    <w:rsid w:val="00EB7D9C"/>
    <w:rsid w:val="00F32E6B"/>
    <w:rsid w:val="00F42FF9"/>
    <w:rsid w:val="00F80B50"/>
    <w:rsid w:val="00F9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F709EA7"/>
  <w15:docId w15:val="{B9991147-7972-4CF7-811E-C7A4BBD0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4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414"/>
  </w:style>
  <w:style w:type="paragraph" w:styleId="Footer">
    <w:name w:val="footer"/>
    <w:basedOn w:val="Normal"/>
    <w:link w:val="FooterChar"/>
    <w:uiPriority w:val="99"/>
    <w:unhideWhenUsed/>
    <w:rsid w:val="000454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414"/>
  </w:style>
  <w:style w:type="character" w:styleId="Hyperlink">
    <w:name w:val="Hyperlink"/>
    <w:basedOn w:val="DefaultParagraphFont"/>
    <w:uiPriority w:val="99"/>
    <w:unhideWhenUsed/>
    <w:rsid w:val="00663F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B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42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2A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2A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A1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42A1F"/>
    <w:pPr>
      <w:ind w:left="720"/>
      <w:contextualSpacing/>
    </w:pPr>
  </w:style>
  <w:style w:type="table" w:styleId="TableGrid">
    <w:name w:val="Table Grid"/>
    <w:basedOn w:val="TableNormal"/>
    <w:uiPriority w:val="59"/>
    <w:rsid w:val="000F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45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5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5C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B1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pharms.com/mep/3-underpinning-knowledge-legislation-and-professional-issues/36-controlled-drugs/368-collection-of-dispensed-controlled-drug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F2529-87CA-4AFB-914F-8777E31E6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Watkinson</dc:creator>
  <cp:lastModifiedBy>Graham Parsons</cp:lastModifiedBy>
  <cp:revision>2</cp:revision>
  <cp:lastPrinted>2018-05-14T14:23:00Z</cp:lastPrinted>
  <dcterms:created xsi:type="dcterms:W3CDTF">2025-10-23T10:58:00Z</dcterms:created>
  <dcterms:modified xsi:type="dcterms:W3CDTF">2025-10-23T10:58:00Z</dcterms:modified>
</cp:coreProperties>
</file>